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left="-567" w:right="283" w:firstLine="567"/>
        <w:jc w:val="both"/>
        <w:rPr>
          <w:sz w:val="28"/>
          <w:b/>
          <w:sz w:val="28"/>
          <w:b/>
          <w:szCs w:val="28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>Журналисты республиканских СМИ стали первыми, кому презентовали «Личный кабинет застрахованного лица»!</w:t>
      </w:r>
      <w:r/>
    </w:p>
    <w:p>
      <w:pPr>
        <w:pStyle w:val="Normal"/>
        <w:spacing w:lineRule="auto" w:line="240"/>
        <w:ind w:left="-567" w:right="-1" w:firstLine="567"/>
        <w:jc w:val="center"/>
        <w:rPr>
          <w:sz w:val="26"/>
          <w:u w:val="single"/>
          <w:b/>
          <w:sz w:val="26"/>
          <w:b/>
          <w:szCs w:val="26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  <w:u w:val="single"/>
        </w:rPr>
        <w:t>Возможности «Личного кабинета застрахованного лица».</w:t>
      </w:r>
      <w:r/>
    </w:p>
    <w:p>
      <w:pPr>
        <w:pStyle w:val="Normal"/>
        <w:spacing w:lineRule="auto" w:line="24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Пенсионным фондом России разработан новый вид услуги по информированию граждан о новых условиях формирования и реализации пенсионных прав.  Теперь в режиме реального времени при помощи электронного сервиса «Личный кабинет застрахованного лица» любой из жителей Мордовии допенсионного возраста может  получить много полезной информации, не посещая органы Пенсионного фонда.</w:t>
      </w:r>
      <w:r/>
    </w:p>
    <w:p>
      <w:pPr>
        <w:pStyle w:val="Normal"/>
        <w:spacing w:lineRule="auto" w:line="240" w:before="60" w:after="6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«Личный кабинет застрахованного лица» размещен на официальном сайте Пенсионного фонда (</w:t>
      </w:r>
      <w:hyperlink r:id="rId2">
        <w:r>
          <w:rPr>
            <w:rStyle w:val="Style14"/>
            <w:rFonts w:cs="Times New Roman" w:ascii="Times New Roman" w:hAnsi="Times New Roman"/>
            <w:color w:val="365F91" w:themeColor="accent1" w:themeShade="bf"/>
            <w:sz w:val="26"/>
            <w:szCs w:val="26"/>
            <w:u w:val="none"/>
          </w:rPr>
          <w:t>www.pfrf.ru</w:t>
        </w:r>
      </w:hyperlink>
      <w:r>
        <w:rPr>
          <w:rFonts w:cs="Times New Roman" w:ascii="Times New Roman" w:hAnsi="Times New Roman"/>
          <w:color w:val="000000"/>
          <w:sz w:val="26"/>
          <w:szCs w:val="26"/>
        </w:rPr>
        <w:t xml:space="preserve">).  </w:t>
      </w:r>
      <w:r/>
    </w:p>
    <w:p>
      <w:pPr>
        <w:pStyle w:val="Normal"/>
        <w:spacing w:lineRule="auto" w:line="240" w:before="60" w:after="6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sz w:val="26"/>
          <w:szCs w:val="26"/>
        </w:rPr>
        <w:t xml:space="preserve">Через «Личный кабинет застрахованного лица» человек может </w:t>
      </w:r>
      <w:r>
        <w:rPr>
          <w:rFonts w:eastAsia="Calibri" w:cs="Times New Roman" w:ascii="Times New Roman" w:hAnsi="Times New Roman"/>
          <w:sz w:val="26"/>
          <w:szCs w:val="26"/>
        </w:rPr>
        <w:t xml:space="preserve">узнать о количестве пенсионных баллов и длительности стажа, учтенных на его индивидуальном счете в ПФР. Это ключевые параметры, влияющие на размер будущей страховой пенсии в соответствии с новой пенсионной формулой, которая вступила в действие с 1 января 2015 года.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Важно, что все представленные в Кабинете сведения о пенсионных правах граждан сформированы на основе данных, которые ПФР получил от работодателей. При этом сервис позволяет узнать, сколько пенсионных баллов гражданину может быть начислено в 2015 году. Для этого достаточно ввести в соответствующее окно ожидаемый ежемесячный размер своего дохода от трудовой деятельности до вычета НДФЛ. </w:t>
      </w:r>
      <w:r/>
    </w:p>
    <w:p>
      <w:pPr>
        <w:pStyle w:val="Normal"/>
        <w:spacing w:lineRule="auto" w:line="24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Вместе с тем, с помощью сервиса можно получить сведения о периодах своей трудовой деятельности, местах работы, размере начисленных работодателями страховых взносов, которой располагает ПФР.  Поэтому, если гражданин считает, что какие-либо сведения не учтены или учтены не в полном объеме, у него появляется возможность заблаговременно обратиться к работодателю для уточнения данных и представить их в ПФР. </w:t>
      </w:r>
      <w:r/>
    </w:p>
    <w:p>
      <w:pPr>
        <w:pStyle w:val="Normal"/>
        <w:spacing w:lineRule="auto" w:line="24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  <w:color w:val="000000"/>
        </w:rPr>
      </w:pPr>
      <w:r>
        <w:rPr>
          <w:rFonts w:eastAsia="Calibri" w:cs="Times New Roman" w:ascii="Times New Roman" w:hAnsi="Times New Roman"/>
          <w:sz w:val="26"/>
          <w:szCs w:val="26"/>
        </w:rPr>
        <w:t>В «Личном кабинете» для удобства пользователей предусмотрена функция мгновенного формирования и печати извещения о состоянии индивидуального лицевого счета (</w:t>
      </w:r>
      <w:r>
        <w:rPr>
          <w:rFonts w:cs="Times New Roman" w:ascii="Times New Roman" w:hAnsi="Times New Roman"/>
          <w:sz w:val="26"/>
          <w:szCs w:val="26"/>
        </w:rPr>
        <w:t xml:space="preserve">так называемые </w:t>
      </w:r>
      <w:r>
        <w:rPr>
          <w:rFonts w:eastAsia="Calibri" w:cs="Times New Roman" w:ascii="Times New Roman" w:hAnsi="Times New Roman"/>
          <w:sz w:val="26"/>
          <w:szCs w:val="26"/>
        </w:rPr>
        <w:t xml:space="preserve">«письма счастья»). Получать такую выписку </w:t>
      </w:r>
      <w:r>
        <w:rPr>
          <w:rFonts w:cs="Times New Roman" w:ascii="Times New Roman" w:hAnsi="Times New Roman"/>
          <w:sz w:val="26"/>
          <w:szCs w:val="26"/>
        </w:rPr>
        <w:t xml:space="preserve">Отделение ПФР по Республике Мордовия </w:t>
      </w:r>
      <w:r>
        <w:rPr>
          <w:rFonts w:eastAsia="Calibri" w:cs="Times New Roman" w:ascii="Times New Roman" w:hAnsi="Times New Roman"/>
          <w:sz w:val="26"/>
          <w:szCs w:val="26"/>
        </w:rPr>
        <w:t xml:space="preserve"> рекомендуем хотя бы раз в год для контроля своих сбережений в счет будущей пенсии.</w:t>
      </w:r>
      <w:r/>
    </w:p>
    <w:p>
      <w:pPr>
        <w:pStyle w:val="Normal"/>
        <w:spacing w:lineRule="auto" w:line="24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Кроме того, сервис позволит получить информацию о пенсионных накоплениях, в том числе данные о добровольных взносах в рамках Программы государственного софинансирования пенсии и средствах госсофинансирования.</w:t>
        <w:br/>
        <w:t>Через кабинет застрахованного лица можно направить обращение в ПФР, записаться на прием, заказать ряд документов.</w:t>
      </w:r>
      <w:r/>
    </w:p>
    <w:p>
      <w:pPr>
        <w:pStyle w:val="Normal"/>
        <w:spacing w:lineRule="auto" w:line="240" w:before="60" w:after="6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  <w:color w:val="000000"/>
        </w:rPr>
      </w:pPr>
      <w:r>
        <w:rPr>
          <w:rFonts w:eastAsia="Calibri" w:cs="Times New Roman" w:ascii="Times New Roman" w:hAnsi="Times New Roman"/>
          <w:sz w:val="26"/>
          <w:szCs w:val="26"/>
        </w:rPr>
        <w:t xml:space="preserve">В «Личном кабинете» также можно рассчитать условный размер будущей пенсии с помощью пенсионного калькулятора </w:t>
      </w:r>
      <w:r>
        <w:rPr>
          <w:rFonts w:cs="Times New Roman" w:ascii="Times New Roman" w:hAnsi="Times New Roman"/>
          <w:sz w:val="26"/>
          <w:szCs w:val="26"/>
        </w:rPr>
        <w:t>(п</w:t>
      </w:r>
      <w:r>
        <w:rPr>
          <w:rFonts w:cs="Times New Roman" w:ascii="Times New Roman" w:hAnsi="Times New Roman"/>
          <w:color w:val="000000"/>
          <w:sz w:val="26"/>
          <w:szCs w:val="26"/>
        </w:rPr>
        <w:t>енсионный калькулятор теперь усовершенствован и стал персональным). В своей новой версии пенсионный калькулятор  учитывает уже сформированные пенсионные права в пенсионных баллах и стаж. Основной задачей калькулятора по-прежнему является разъяснение порядка формирования пенсионных прав и расчета страховой пенсии, а также демонстрация того, как на размер страховой пенсии влияют такие показатели, как размер зарплаты, продолжительность стажа, выбранный вариант пенсионного обеспечения, военная служба по призыву, отпуск по уходу за ребенком и другие.</w:t>
      </w:r>
      <w:r/>
    </w:p>
    <w:p>
      <w:pPr>
        <w:pStyle w:val="Normal"/>
        <w:spacing w:lineRule="auto" w:line="240" w:before="60" w:after="6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Пенсионный калькулятор состоит из двух блоков.</w:t>
        <w:br/>
      </w:r>
      <w:r>
        <w:rPr>
          <w:rFonts w:eastAsia="Calibri" w:cs="Times New Roman" w:ascii="Times New Roman" w:hAnsi="Times New Roman"/>
          <w:sz w:val="26"/>
          <w:szCs w:val="26"/>
        </w:rPr>
        <w:t>Первый блок отражает количество пенсионных баллов, уже начисленных гражданину, и продолжительность трудового стажа. В эти данные можно добавить периоды службы в армии по призыву, отпуска по уходу ребенком или инвалидом. Если такие периоды были, то количество пенсионных баллов и стаж увеличатся.</w:t>
      </w:r>
      <w:r/>
    </w:p>
    <w:p>
      <w:pPr>
        <w:pStyle w:val="Normal"/>
        <w:spacing w:lineRule="auto" w:line="240" w:before="60" w:after="6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</w:rPr>
      </w:pPr>
      <w:r>
        <w:rPr>
          <w:rFonts w:eastAsia="Calibri" w:cs="Times New Roman" w:ascii="Times New Roman" w:hAnsi="Times New Roman"/>
          <w:sz w:val="26"/>
          <w:szCs w:val="26"/>
        </w:rPr>
        <w:t>Второй блок – это моделирование своего будущего. Пользователь должен указать, сколько лет он собирается работать, служить в армии или находиться в отпуске по уходу за ребенком, указать ожидаемую зарплату в «ценах 2015 года» до вычета НДФЛ и нажать на кнопку «рассчитать». Калькулятор посчитает размер страховой пенсии исходя из уже сформированных пенсионных прав и «придуманного» будущего «в ценах 2015 года» при условии, что количество пенсионных баллов и продолжительность стажа будут достаточными для получения права на страховую пенсию.</w:t>
      </w:r>
      <w:r/>
    </w:p>
    <w:p>
      <w:pPr>
        <w:pStyle w:val="Normal"/>
        <w:spacing w:lineRule="auto" w:line="240" w:before="60" w:after="6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>В течение 2015 года возможности «Личного кабинете застрахованного лица» станут шире. В частности, планируется ввести сервис подачи заявлений о назначении пенсии, способе доставки пенсии.</w:t>
      </w:r>
      <w:r/>
    </w:p>
    <w:p>
      <w:pPr>
        <w:pStyle w:val="Normal"/>
        <w:spacing w:lineRule="auto" w:line="240" w:before="60" w:after="60"/>
        <w:ind w:left="-567" w:right="-1" w:firstLine="567"/>
        <w:jc w:val="center"/>
        <w:rPr>
          <w:sz w:val="26"/>
          <w:u w:val="single"/>
          <w:b/>
          <w:sz w:val="26"/>
          <w:b/>
          <w:szCs w:val="26"/>
          <w:rFonts w:ascii="Times New Roman" w:hAnsi="Times New Roman" w:cs="Times New Roman"/>
        </w:rPr>
      </w:pPr>
      <w:r>
        <w:rPr>
          <w:rFonts w:cs="Times New Roman" w:ascii="Times New Roman" w:hAnsi="Times New Roman"/>
          <w:b/>
          <w:sz w:val="26"/>
          <w:szCs w:val="26"/>
          <w:u w:val="single"/>
        </w:rPr>
        <w:t>Как воспользоваться сервисом?</w:t>
      </w:r>
      <w:r/>
    </w:p>
    <w:p>
      <w:pPr>
        <w:pStyle w:val="Normal"/>
        <w:spacing w:lineRule="auto" w:line="240" w:before="60" w:after="60"/>
        <w:ind w:left="-567" w:right="-1" w:firstLine="567"/>
        <w:jc w:val="both"/>
        <w:rPr>
          <w:sz w:val="26"/>
          <w:sz w:val="26"/>
          <w:szCs w:val="26"/>
          <w:rFonts w:ascii="Times New Roman" w:hAnsi="Times New Roman" w:eastAsia="Calibri" w:cs="Times New Roman"/>
        </w:rPr>
      </w:pPr>
      <w:r>
        <w:rPr>
          <w:rFonts w:eastAsia="Calibri" w:cs="Times New Roman" w:ascii="Times New Roman" w:hAnsi="Times New Roman"/>
          <w:sz w:val="26"/>
          <w:szCs w:val="26"/>
        </w:rPr>
      </w:r>
      <w:r/>
    </w:p>
    <w:p>
      <w:pPr>
        <w:pStyle w:val="Normal"/>
        <w:spacing w:lineRule="auto" w:line="24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«Личный кабинет застрахованного лица» доступен только для зарегистрированных </w:t>
      </w:r>
      <w:r>
        <w:rPr>
          <w:rFonts w:eastAsia="Calibri" w:cs="Times New Roman" w:ascii="Times New Roman" w:hAnsi="Times New Roman"/>
          <w:sz w:val="26"/>
          <w:szCs w:val="26"/>
        </w:rPr>
        <w:t>в Единой системе идентификации и аутентификации (ЕСИА) или на сайте госуслуг</w:t>
      </w:r>
      <w:r>
        <w:rPr>
          <w:rFonts w:cs="Times New Roman" w:ascii="Times New Roman" w:hAnsi="Times New Roman"/>
          <w:color w:val="000000"/>
          <w:sz w:val="26"/>
          <w:szCs w:val="26"/>
        </w:rPr>
        <w:t xml:space="preserve"> пользователей, имеющих подтвержденную учетную запись. Если Вы еще не зарегистрированы, то это легко сделать -можно перейти со страницы Пенсионного фонда на сайт гос.услуг по ссылке «Пройти регистрацию в ЕСИА». </w:t>
      </w:r>
      <w:r/>
    </w:p>
    <w:p>
      <w:pPr>
        <w:pStyle w:val="Normal"/>
        <w:spacing w:lineRule="auto" w:line="24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Процесс регистрации на сайте </w:t>
      </w:r>
      <w:hyperlink r:id="rId3">
        <w:r>
          <w:rPr>
            <w:rStyle w:val="Style14"/>
            <w:rFonts w:cs="Times New Roman" w:ascii="Times New Roman" w:hAnsi="Times New Roman"/>
            <w:color w:val="3B5998"/>
            <w:sz w:val="26"/>
            <w:szCs w:val="26"/>
            <w:u w:val="none"/>
          </w:rPr>
          <w:t>www.gosuslugi.ru</w:t>
        </w:r>
      </w:hyperlink>
      <w:r>
        <w:rPr>
          <w:rFonts w:cs="Times New Roman" w:ascii="Times New Roman" w:hAnsi="Times New Roman"/>
          <w:color w:val="000000"/>
          <w:sz w:val="26"/>
          <w:szCs w:val="26"/>
        </w:rPr>
        <w:t xml:space="preserve"> очень прост. В правом верхнем углу экрана нажать на кнопку «регистрация» Внести фамилию, имя и номер мобильного телефона или адрес электронной почты. Подтвердить номер мобильного телефона (или электронной почты). При регистрации через телефон на указанный номер придет SMS-сообщение с кодом подтверждения, который надо ввести в соответствующем окошке и подтвердить его. Установить пароль для входа в систему. Пароль должен содержать буквы (только латинские), цифры и знаки пунктуации – всего не менее 8 символов.</w:t>
      </w:r>
      <w:r/>
    </w:p>
    <w:p>
      <w:pPr>
        <w:pStyle w:val="Normal"/>
        <w:spacing w:lineRule="auto" w:line="24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Зарегистрированные на портале госуслуг пользователи (с активированной подписью) могут войти в «Личный кабинет» по ссылке «Вход». </w:t>
      </w:r>
      <w:r/>
    </w:p>
    <w:p>
      <w:pPr>
        <w:pStyle w:val="Normal"/>
        <w:spacing w:lineRule="auto" w:line="240"/>
        <w:ind w:left="-567" w:right="-1" w:firstLine="567"/>
        <w:jc w:val="both"/>
        <w:rPr>
          <w:sz w:val="26"/>
          <w:sz w:val="26"/>
          <w:szCs w:val="26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Вход в «Личный кабинет застрахованного лица» осуществляется по номеру мобильного телефона, СНИЛС или электронной почты. При вводе логина и пароля открывается страница «Личного кабинета застрахованного лица». </w:t>
      </w:r>
      <w:r/>
    </w:p>
    <w:p>
      <w:pPr>
        <w:pStyle w:val="Normal"/>
        <w:spacing w:lineRule="auto" w:line="240"/>
        <w:ind w:left="-567" w:right="-1" w:firstLine="567"/>
        <w:jc w:val="center"/>
        <w:rPr>
          <w:sz w:val="26"/>
          <w:u w:val="single"/>
          <w:b/>
          <w:sz w:val="26"/>
          <w:b/>
          <w:szCs w:val="26"/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b/>
          <w:color w:val="000000"/>
          <w:sz w:val="26"/>
          <w:szCs w:val="26"/>
          <w:u w:val="single"/>
        </w:rPr>
        <w:t>Цель разработки и внедрения электронного сервиса</w:t>
      </w:r>
      <w:r/>
    </w:p>
    <w:p>
      <w:pPr>
        <w:pStyle w:val="Normal"/>
        <w:spacing w:lineRule="auto" w:line="240"/>
        <w:ind w:left="-567" w:right="-1" w:firstLine="567"/>
        <w:jc w:val="both"/>
      </w:pPr>
      <w:r>
        <w:rPr>
          <w:rFonts w:cs="Times New Roman" w:ascii="Times New Roman" w:hAnsi="Times New Roman"/>
          <w:color w:val="000000"/>
          <w:sz w:val="26"/>
          <w:szCs w:val="26"/>
        </w:rPr>
        <w:t xml:space="preserve"> </w:t>
      </w:r>
      <w:r>
        <w:rPr>
          <w:rFonts w:cs="Times New Roman" w:ascii="Times New Roman" w:hAnsi="Times New Roman"/>
          <w:color w:val="000000"/>
          <w:sz w:val="26"/>
          <w:szCs w:val="26"/>
        </w:rPr>
        <w:t>Главная задача Пенсионного фонда – повысить качество и уровень услуг, оказываемых населению. Электронный сервис «Личный кабинет застрахованного лица позволит его пользователям сэкономить время, силы и средства, поскольку им теперь не придется посещать Пенсионный фонд по тем вопросам, которые раскрывает сервис.</w:t>
      </w:r>
      <w:r/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count="267" w:defQFormat="0" w:defUnhideWhenUsed="1" w:defSemiHidden="1" w:defUIPriority="99" w:defLockedState="0">
    <w:lsdException w:qFormat="1" w:semiHidden="0" w:unhideWhenUsed="0" w:uiPriority="0" w:name="Normal"/>
    <w:lsdException w:qFormat="1" w:semiHidden="0" w:unhideWhenUsed="0" w:uiPriority="9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35" w:name="caption"/>
    <w:lsdException w:qFormat="1" w:semiHidden="0" w:unhideWhenUsed="0" w:uiPriority="10" w:name="Title"/>
    <w:lsdException w:uiPriority="1" w:name="Default Paragraph Font"/>
    <w:lsdException w:qFormat="1" w:semiHidden="0" w:unhideWhenUsed="0" w:uiPriority="11" w:name="Subtitle"/>
    <w:lsdException w:qFormat="1" w:semiHidden="0" w:unhideWhenUsed="0" w:uiPriority="22" w:name="Strong"/>
    <w:lsdException w:qFormat="1" w:semiHidden="0" w:unhideWhenUsed="0" w:uiPriority="20" w:name="Emphasis"/>
    <w:lsdException w:uiPriority="0" w:name="Normal (Web)"/>
    <w:lsdException w:semiHidden="0" w:unhideWhenUsed="0" w:uiPriority="59" w:name="Table Grid"/>
    <w:lsdException w:unhideWhenUsed="0" w:name="Placeholder Text"/>
    <w:lsdException w:qFormat="1" w:semiHidden="0" w:unhideWhenUsed="0" w:uiPriority="1" w:name="No Spacing"/>
    <w:lsdException w:semiHidden="0" w:unhideWhenUsed="0" w:uiPriority="60" w:name="Light Shading"/>
    <w:lsdException w:semiHidden="0" w:unhideWhenUsed="0" w:uiPriority="61" w:name="Light List"/>
    <w:lsdException w:semiHidden="0" w:unhideWhenUsed="0" w:uiPriority="62" w:name="Light Grid"/>
    <w:lsdException w:semiHidden="0" w:unhideWhenUsed="0" w:uiPriority="63" w:name="Medium Shading 1"/>
    <w:lsdException w:semiHidden="0" w:unhideWhenUsed="0" w:uiPriority="64" w:name="Medium Shading 2"/>
    <w:lsdException w:semiHidden="0" w:unhideWhenUsed="0" w:uiPriority="65" w:name="Medium List 1"/>
    <w:lsdException w:semiHidden="0" w:unhideWhenUsed="0" w:uiPriority="66" w:name="Medium List 2"/>
    <w:lsdException w:semiHidden="0" w:unhideWhenUsed="0" w:uiPriority="67" w:name="Medium Grid 1"/>
    <w:lsdException w:semiHidden="0" w:unhideWhenUsed="0" w:uiPriority="68" w:name="Medium Grid 2"/>
    <w:lsdException w:semiHidden="0" w:unhideWhenUsed="0" w:uiPriority="69" w:name="Medium Grid 3"/>
    <w:lsdException w:semiHidden="0" w:unhideWhenUsed="0" w:uiPriority="70" w:name="Dark List"/>
    <w:lsdException w:semiHidden="0" w:unhideWhenUsed="0" w:uiPriority="71" w:name="Colorful Shading"/>
    <w:lsdException w:semiHidden="0" w:unhideWhenUsed="0" w:uiPriority="72" w:name="Colorful List"/>
    <w:lsdException w:semiHidden="0" w:unhideWhenUsed="0" w:uiPriority="73" w:name="Colorful Grid"/>
    <w:lsdException w:semiHidden="0" w:unhideWhenUsed="0" w:uiPriority="60" w:name="Light Shading Accent 1"/>
    <w:lsdException w:semiHidden="0" w:unhideWhenUsed="0" w:uiPriority="61" w:name="Light List Accent 1"/>
    <w:lsdException w:semiHidden="0" w:unhideWhenUsed="0" w:uiPriority="62" w:name="Light Grid Accent 1"/>
    <w:lsdException w:semiHidden="0" w:unhideWhenUsed="0" w:uiPriority="63" w:name="Medium Shading 1 Accent 1"/>
    <w:lsdException w:semiHidden="0" w:unhideWhenUsed="0" w:uiPriority="64" w:name="Medium Shading 2 Accent 1"/>
    <w:lsdException w:semiHidden="0" w:unhideWhenUsed="0" w:uiPriority="65" w:name="Medium List 1 Accent 1"/>
    <w:lsdException w:unhideWhenUsed="0" w:name="Revision"/>
    <w:lsdException w:qFormat="1" w:semiHidden="0" w:unhideWhenUsed="0" w:uiPriority="34" w:name="List Paragraph"/>
    <w:lsdException w:qFormat="1" w:semiHidden="0" w:unhideWhenUsed="0" w:uiPriority="29" w:name="Quote"/>
    <w:lsdException w:qFormat="1" w:semiHidden="0" w:unhideWhenUsed="0" w:uiPriority="30" w:name="Intense Quote"/>
    <w:lsdException w:semiHidden="0" w:unhideWhenUsed="0" w:uiPriority="66" w:name="Medium List 2 Accent 1"/>
    <w:lsdException w:semiHidden="0" w:unhideWhenUsed="0" w:uiPriority="67" w:name="Medium Grid 1 Accent 1"/>
    <w:lsdException w:semiHidden="0" w:unhideWhenUsed="0" w:uiPriority="68" w:name="Medium Grid 2 Accent 1"/>
    <w:lsdException w:semiHidden="0" w:unhideWhenUsed="0" w:uiPriority="69" w:name="Medium Grid 3 Accent 1"/>
    <w:lsdException w:semiHidden="0" w:unhideWhenUsed="0" w:uiPriority="70" w:name="Dark List Accent 1"/>
    <w:lsdException w:semiHidden="0" w:unhideWhenUsed="0" w:uiPriority="71" w:name="Colorful Shading Accent 1"/>
    <w:lsdException w:semiHidden="0" w:unhideWhenUsed="0" w:uiPriority="72" w:name="Colorful List Accent 1"/>
    <w:lsdException w:semiHidden="0" w:unhideWhenUsed="0" w:uiPriority="73" w:name="Colorful Grid Accent 1"/>
    <w:lsdException w:semiHidden="0" w:unhideWhenUsed="0" w:uiPriority="60" w:name="Light Shading Accent 2"/>
    <w:lsdException w:semiHidden="0" w:unhideWhenUsed="0" w:uiPriority="61" w:name="Light List Accent 2"/>
    <w:lsdException w:semiHidden="0" w:unhideWhenUsed="0" w:uiPriority="62" w:name="Light Grid Accent 2"/>
    <w:lsdException w:semiHidden="0" w:unhideWhenUsed="0" w:uiPriority="63" w:name="Medium Shading 1 Accent 2"/>
    <w:lsdException w:semiHidden="0" w:unhideWhenUsed="0" w:uiPriority="64" w:name="Medium Shading 2 Accent 2"/>
    <w:lsdException w:semiHidden="0" w:unhideWhenUsed="0" w:uiPriority="65" w:name="Medium List 1 Accent 2"/>
    <w:lsdException w:semiHidden="0" w:unhideWhenUsed="0" w:uiPriority="66" w:name="Medium List 2 Accent 2"/>
    <w:lsdException w:semiHidden="0" w:unhideWhenUsed="0" w:uiPriority="67" w:name="Medium Grid 1 Accent 2"/>
    <w:lsdException w:semiHidden="0" w:unhideWhenUsed="0" w:uiPriority="68" w:name="Medium Grid 2 Accent 2"/>
    <w:lsdException w:semiHidden="0" w:unhideWhenUsed="0" w:uiPriority="69" w:name="Medium Grid 3 Accent 2"/>
    <w:lsdException w:semiHidden="0" w:unhideWhenUsed="0" w:uiPriority="70" w:name="Dark List Accent 2"/>
    <w:lsdException w:semiHidden="0" w:unhideWhenUsed="0" w:uiPriority="71" w:name="Colorful Shading Accent 2"/>
    <w:lsdException w:semiHidden="0" w:unhideWhenUsed="0" w:uiPriority="72" w:name="Colorful List Accent 2"/>
    <w:lsdException w:semiHidden="0" w:unhideWhenUsed="0" w:uiPriority="73" w:name="Colorful Grid Accent 2"/>
    <w:lsdException w:semiHidden="0" w:unhideWhenUsed="0" w:uiPriority="60" w:name="Light Shading Accent 3"/>
    <w:lsdException w:semiHidden="0" w:unhideWhenUsed="0" w:uiPriority="61" w:name="Light List Accent 3"/>
    <w:lsdException w:semiHidden="0" w:unhideWhenUsed="0" w:uiPriority="62" w:name="Light Grid Accent 3"/>
    <w:lsdException w:semiHidden="0" w:unhideWhenUsed="0" w:uiPriority="63" w:name="Medium Shading 1 Accent 3"/>
    <w:lsdException w:semiHidden="0" w:unhideWhenUsed="0" w:uiPriority="64" w:name="Medium Shading 2 Accent 3"/>
    <w:lsdException w:semiHidden="0" w:unhideWhenUsed="0" w:uiPriority="65" w:name="Medium List 1 Accent 3"/>
    <w:lsdException w:semiHidden="0" w:unhideWhenUsed="0" w:uiPriority="66" w:name="Medium List 2 Accent 3"/>
    <w:lsdException w:semiHidden="0" w:unhideWhenUsed="0" w:uiPriority="67" w:name="Medium Grid 1 Accent 3"/>
    <w:lsdException w:semiHidden="0" w:unhideWhenUsed="0" w:uiPriority="68" w:name="Medium Grid 2 Accent 3"/>
    <w:lsdException w:semiHidden="0" w:unhideWhenUsed="0" w:uiPriority="69" w:name="Medium Grid 3 Accent 3"/>
    <w:lsdException w:semiHidden="0" w:unhideWhenUsed="0" w:uiPriority="70" w:name="Dark List Accent 3"/>
    <w:lsdException w:semiHidden="0" w:unhideWhenUsed="0" w:uiPriority="71" w:name="Colorful Shading Accent 3"/>
    <w:lsdException w:semiHidden="0" w:unhideWhenUsed="0" w:uiPriority="72" w:name="Colorful List Accent 3"/>
    <w:lsdException w:semiHidden="0" w:unhideWhenUsed="0" w:uiPriority="73" w:name="Colorful Grid Accent 3"/>
    <w:lsdException w:semiHidden="0" w:unhideWhenUsed="0" w:uiPriority="60" w:name="Light Shading Accent 4"/>
    <w:lsdException w:semiHidden="0" w:unhideWhenUsed="0" w:uiPriority="61" w:name="Light List Accent 4"/>
    <w:lsdException w:semiHidden="0" w:unhideWhenUsed="0" w:uiPriority="62" w:name="Light Grid Accent 4"/>
    <w:lsdException w:semiHidden="0" w:unhideWhenUsed="0" w:uiPriority="63" w:name="Medium Shading 1 Accent 4"/>
    <w:lsdException w:semiHidden="0" w:unhideWhenUsed="0" w:uiPriority="64" w:name="Medium Shading 2 Accent 4"/>
    <w:lsdException w:semiHidden="0" w:unhideWhenUsed="0" w:uiPriority="65" w:name="Medium List 1 Accent 4"/>
    <w:lsdException w:semiHidden="0" w:unhideWhenUsed="0" w:uiPriority="66" w:name="Medium List 2 Accent 4"/>
    <w:lsdException w:semiHidden="0" w:unhideWhenUsed="0" w:uiPriority="67" w:name="Medium Grid 1 Accent 4"/>
    <w:lsdException w:semiHidden="0" w:unhideWhenUsed="0" w:uiPriority="68" w:name="Medium Grid 2 Accent 4"/>
    <w:lsdException w:semiHidden="0" w:unhideWhenUsed="0" w:uiPriority="69" w:name="Medium Grid 3 Accent 4"/>
    <w:lsdException w:semiHidden="0" w:unhideWhenUsed="0" w:uiPriority="70" w:name="Dark List Accent 4"/>
    <w:lsdException w:semiHidden="0" w:unhideWhenUsed="0" w:uiPriority="71" w:name="Colorful Shading Accent 4"/>
    <w:lsdException w:semiHidden="0" w:unhideWhenUsed="0" w:uiPriority="72" w:name="Colorful List Accent 4"/>
    <w:lsdException w:semiHidden="0" w:unhideWhenUsed="0" w:uiPriority="73" w:name="Colorful Grid Accent 4"/>
    <w:lsdException w:semiHidden="0" w:unhideWhenUsed="0" w:uiPriority="60" w:name="Light Shading Accent 5"/>
    <w:lsdException w:semiHidden="0" w:unhideWhenUsed="0" w:uiPriority="61" w:name="Light List Accent 5"/>
    <w:lsdException w:semiHidden="0" w:unhideWhenUsed="0" w:uiPriority="62" w:name="Light Grid Accent 5"/>
    <w:lsdException w:semiHidden="0" w:unhideWhenUsed="0" w:uiPriority="63" w:name="Medium Shading 1 Accent 5"/>
    <w:lsdException w:semiHidden="0" w:unhideWhenUsed="0" w:uiPriority="64" w:name="Medium Shading 2 Accent 5"/>
    <w:lsdException w:semiHidden="0" w:unhideWhenUsed="0" w:uiPriority="65" w:name="Medium List 1 Accent 5"/>
    <w:lsdException w:semiHidden="0" w:unhideWhenUsed="0" w:uiPriority="66" w:name="Medium List 2 Accent 5"/>
    <w:lsdException w:semiHidden="0" w:unhideWhenUsed="0" w:uiPriority="67" w:name="Medium Grid 1 Accent 5"/>
    <w:lsdException w:semiHidden="0" w:unhideWhenUsed="0" w:uiPriority="68" w:name="Medium Grid 2 Accent 5"/>
    <w:lsdException w:semiHidden="0" w:unhideWhenUsed="0" w:uiPriority="69" w:name="Medium Grid 3 Accent 5"/>
    <w:lsdException w:semiHidden="0" w:unhideWhenUsed="0" w:uiPriority="70" w:name="Dark List Accent 5"/>
    <w:lsdException w:semiHidden="0" w:unhideWhenUsed="0" w:uiPriority="71" w:name="Colorful Shading Accent 5"/>
    <w:lsdException w:semiHidden="0" w:unhideWhenUsed="0" w:uiPriority="72" w:name="Colorful List Accent 5"/>
    <w:lsdException w:semiHidden="0" w:unhideWhenUsed="0" w:uiPriority="73" w:name="Colorful Grid Accent 5"/>
    <w:lsdException w:semiHidden="0" w:unhideWhenUsed="0" w:uiPriority="60" w:name="Light Shading Accent 6"/>
    <w:lsdException w:semiHidden="0" w:unhideWhenUsed="0" w:uiPriority="61" w:name="Light List Accent 6"/>
    <w:lsdException w:semiHidden="0" w:unhideWhenUsed="0" w:uiPriority="62" w:name="Light Grid Accent 6"/>
    <w:lsdException w:semiHidden="0" w:unhideWhenUsed="0" w:uiPriority="63" w:name="Medium Shading 1 Accent 6"/>
    <w:lsdException w:semiHidden="0" w:unhideWhenUsed="0" w:uiPriority="64" w:name="Medium Shading 2 Accent 6"/>
    <w:lsdException w:semiHidden="0" w:unhideWhenUsed="0" w:uiPriority="65" w:name="Medium List 1 Accent 6"/>
    <w:lsdException w:semiHidden="0" w:unhideWhenUsed="0" w:uiPriority="66" w:name="Medium List 2 Accent 6"/>
    <w:lsdException w:semiHidden="0" w:unhideWhenUsed="0" w:uiPriority="67" w:name="Medium Grid 1 Accent 6"/>
    <w:lsdException w:semiHidden="0" w:unhideWhenUsed="0" w:uiPriority="68" w:name="Medium Grid 2 Accent 6"/>
    <w:lsdException w:semiHidden="0" w:unhideWhenUsed="0" w:uiPriority="69" w:name="Medium Grid 3 Accent 6"/>
    <w:lsdException w:semiHidden="0" w:unhideWhenUsed="0" w:uiPriority="70" w:name="Dark List Accent 6"/>
    <w:lsdException w:semiHidden="0" w:unhideWhenUsed="0" w:uiPriority="71" w:name="Colorful Shading Accent 6"/>
    <w:lsdException w:semiHidden="0" w:unhideWhenUsed="0" w:uiPriority="72" w:name="Colorful List Accent 6"/>
    <w:lsdException w:semiHidden="0" w:unhideWhenUsed="0" w:uiPriority="73" w:name="Colorful Grid Accent 6"/>
    <w:lsdException w:qFormat="1" w:semiHidden="0" w:unhideWhenUsed="0" w:uiPriority="19" w:name="Subtle Emphasis"/>
    <w:lsdException w:qFormat="1" w:semiHidden="0" w:unhideWhenUsed="0" w:uiPriority="21" w:name="Intense Emphasis"/>
    <w:lsdException w:qFormat="1" w:semiHidden="0" w:unhideWhenUsed="0" w:uiPriority="31" w:name="Subtle Reference"/>
    <w:lsdException w:qFormat="1" w:semiHidden="0" w:unhideWhenUsed="0" w:uiPriority="32" w:name="Intense Reference"/>
    <w:lsdException w:qFormat="1" w:semiHidden="0" w:unhideWhenUsed="0" w:uiPriority="33" w:name="Book Title"/>
    <w:lsdException w:uiPriority="37" w:name="Bibliography"/>
    <w:lsdException w:qFormat="1" w:uiPriority="39" w:name="TOC Heading"/>
  </w:latentStyles>
  <w:style w:type="paragraph" w:styleId="Normal" w:default="1">
    <w:name w:val="Normal"/>
    <w:qFormat/>
    <w:rsid w:val="00146f77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rPr/>
  </w:style>
  <w:style w:type="character" w:styleId="Style14">
    <w:name w:val="Интернет-ссылка"/>
    <w:basedOn w:val="DefaultParagraphFont"/>
    <w:uiPriority w:val="99"/>
    <w:semiHidden/>
    <w:unhideWhenUsed/>
    <w:rsid w:val="000b42f9"/>
    <w:rPr>
      <w:color w:val="0000FF"/>
      <w:u w:val="single"/>
      <w:lang w:val="zxx" w:eastAsia="zxx" w:bidi="zxx"/>
    </w:rPr>
  </w:style>
  <w:style w:type="paragraph" w:styleId="Style15">
    <w:name w:val="Заголовок"/>
    <w:basedOn w:val="Normal"/>
    <w:next w:val="Style16"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6">
    <w:name w:val="Основной текст"/>
    <w:basedOn w:val="Normal"/>
    <w:pPr>
      <w:spacing w:lineRule="auto" w:line="288" w:before="0" w:after="140"/>
    </w:pPr>
    <w:rPr/>
  </w:style>
  <w:style w:type="paragraph" w:styleId="Style17">
    <w:name w:val="Список"/>
    <w:basedOn w:val="Style16"/>
    <w:pPr/>
    <w:rPr>
      <w:rFonts w:cs="Mangal"/>
    </w:rPr>
  </w:style>
  <w:style w:type="paragraph" w:styleId="Style18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pPr>
      <w:suppressLineNumbers/>
    </w:pPr>
    <w:rPr>
      <w:rFonts w:cs="Mangal"/>
    </w:rPr>
  </w:style>
  <w:style w:type="paragraph" w:styleId="NormalWeb">
    <w:name w:val="Normal (Web)"/>
    <w:basedOn w:val="Normal"/>
    <w:rsid w:val="008c4511"/>
    <w:pPr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  <w:lang w:eastAsia="ar-SA"/>
    </w:rPr>
  </w:style>
  <w:style w:type="paragraph" w:styleId="NoSpacing">
    <w:name w:val="No Spacing"/>
    <w:uiPriority w:val="1"/>
    <w:qFormat/>
    <w:rsid w:val="0075101a"/>
    <w:pPr>
      <w:widowControl/>
      <w:suppressAutoHyphens w:val="true"/>
      <w:bidi w:val="0"/>
      <w:spacing w:lineRule="auto" w:line="240"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type="dxa" w:w="0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l.facebook.com/l/qAQGDvH20/www.pfrf.ru" TargetMode="External"/><Relationship Id="rId3" Type="http://schemas.openxmlformats.org/officeDocument/2006/relationships/hyperlink" Target="http://l.facebook.com/l/1AQGCNChO/www.gosuslugi.ru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Application>LibreOffice/4.3.4.1$Windows_x86 LibreOffice_project/bc356b2f991740509f321d70e4512a6a54c5f243</Application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2015-02-12T12:10:00Z</dcterms:created>
  <dc:creator>Мартыненко Светлана Вылериано</dc:creator>
  <dc:language>ru-RU</dc:language>
  <cp:lastModifiedBy>Мартыненко Светлана Вылериано</cp:lastModifiedBy>
  <dcterms:modified xsi:type="dcterms:W3CDTF">2015-02-16T09:25:00Z</dcterms:modified>
  <cp:revision>8</cp:revision>
</cp:coreProperties>
</file>