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720"/>
        <w:jc w:val="center"/>
        <w:rPr>
          <w:rFonts w:ascii="Times New Roman CYR" w:hAnsi="Times New Roman CYR" w:cs="Times New Roman CYR" w:eastAsia="Times New Roman CYR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 CYR" w:hAnsi="Times New Roman CYR" w:cs="Times New Roman CYR" w:eastAsia="Times New Roman CYR"/>
          <w:b/>
          <w:color w:val="auto"/>
          <w:spacing w:val="0"/>
          <w:position w:val="0"/>
          <w:sz w:val="28"/>
          <w:shd w:fill="auto" w:val="clear"/>
        </w:rPr>
        <w:t xml:space="preserve">Администрация Апраксинского сельского поселения</w:t>
      </w:r>
    </w:p>
    <w:p>
      <w:pPr>
        <w:spacing w:before="0" w:after="0" w:line="240"/>
        <w:ind w:right="0" w:left="0" w:firstLine="720"/>
        <w:jc w:val="center"/>
        <w:rPr>
          <w:rFonts w:ascii="Times New Roman CYR" w:hAnsi="Times New Roman CYR" w:cs="Times New Roman CYR" w:eastAsia="Times New Roman CYR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 CYR" w:hAnsi="Times New Roman CYR" w:cs="Times New Roman CYR" w:eastAsia="Times New Roman CYR"/>
          <w:b/>
          <w:color w:val="auto"/>
          <w:spacing w:val="0"/>
          <w:position w:val="0"/>
          <w:sz w:val="28"/>
          <w:shd w:fill="auto" w:val="clear"/>
        </w:rPr>
        <w:t xml:space="preserve">Чамзинского муниципального района</w:t>
      </w:r>
    </w:p>
    <w:p>
      <w:pPr>
        <w:spacing w:before="0" w:after="0" w:line="240"/>
        <w:ind w:right="0" w:left="0" w:firstLine="720"/>
        <w:jc w:val="center"/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 CYR" w:hAnsi="Times New Roman CYR" w:cs="Times New Roman CYR" w:eastAsia="Times New Roman CYR"/>
          <w:b/>
          <w:color w:val="auto"/>
          <w:spacing w:val="0"/>
          <w:position w:val="0"/>
          <w:sz w:val="28"/>
          <w:shd w:fill="auto" w:val="clear"/>
        </w:rPr>
        <w:t xml:space="preserve">Республики Мордовия</w:t>
      </w:r>
    </w:p>
    <w:p>
      <w:pPr>
        <w:spacing w:before="0" w:after="0" w:line="240"/>
        <w:ind w:right="0" w:left="0" w:firstLine="720"/>
        <w:jc w:val="center"/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20"/>
        <w:jc w:val="center"/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20"/>
        <w:jc w:val="center"/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  <w:t xml:space="preserve">ПОСТАНОВЛЕНИЕ</w:t>
      </w:r>
    </w:p>
    <w:p>
      <w:pPr>
        <w:spacing w:before="0" w:after="0" w:line="240"/>
        <w:ind w:right="0" w:left="0" w:firstLine="720"/>
        <w:jc w:val="center"/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  <w:t xml:space="preserve">06.12.2022</w:t>
      </w:r>
      <w:r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  <w:t xml:space="preserve">г.                                                                           № 45</w:t>
      </w:r>
    </w:p>
    <w:p>
      <w:pPr>
        <w:spacing w:before="0" w:after="0" w:line="240"/>
        <w:ind w:right="0" w:left="0" w:firstLine="720"/>
        <w:jc w:val="center"/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  <w:t xml:space="preserve">с. Апраксино</w:t>
      </w:r>
    </w:p>
    <w:p>
      <w:pPr>
        <w:spacing w:before="0" w:after="0" w:line="240"/>
        <w:ind w:right="0" w:left="0" w:firstLine="720"/>
        <w:jc w:val="both"/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keepNext w:val="true"/>
        <w:keepLines w:val="true"/>
        <w:spacing w:before="240" w:after="0" w:line="240"/>
        <w:ind w:right="0" w:left="567" w:firstLine="567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О внесении изменений в Постановление администрации Апраксинского сельского поселения от 29.12.2021 года № 51 "Об утверждении Порядка учета бюджетных и денежных обязательств получателей средств бюджета Апраксинского сельского поселения Чамзинского муниципального района Республики Мордовия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</w:p>
    <w:p>
      <w:pPr>
        <w:spacing w:before="0" w:after="0" w:line="240"/>
        <w:ind w:right="0" w:left="85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Руководствуясь статьей 219 Бюджетного кодекса Российской Федерации, внести в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Порядка учета бюджетных и денежных обязательств получателей средств бюджета Апраксинского сельского поселения Чамзинского муниципального района Республики Мордовия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, утвержденный П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остановлением администрации Апраксинского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 сельского поселения Чамзинского муниципального района Республики Мордовия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от 29.12.2021 г. № 51,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следующие изменения:</w:t>
      </w:r>
    </w:p>
    <w:p>
      <w:pPr>
        <w:spacing w:before="0" w:after="0" w:line="240"/>
        <w:ind w:right="0" w:left="85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1)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в пункте 2 после слов "Постановка на учет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бюджетных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и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денежных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обязательств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FFFFFF" w:val="clear"/>
        </w:rPr>
        <w:t xml:space="preserve">"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дополнить словами "и внесение в них изменений";</w:t>
      </w:r>
    </w:p>
    <w:p>
      <w:pPr>
        <w:spacing w:before="0" w:after="0" w:line="240"/>
        <w:ind w:right="0" w:left="85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2)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в части первой пункта 3 после слов "от имени получателя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средств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бюджета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поселения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или" дополнить словами "в случаях, предусмотренных настоящим Порядком,";</w:t>
      </w:r>
    </w:p>
    <w:p>
      <w:pPr>
        <w:spacing w:before="0" w:after="0" w:line="240"/>
        <w:ind w:right="0" w:left="85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3)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абзацы третий и четвертый подпункта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пункта 8 изложить в следующей редакции:</w:t>
      </w:r>
    </w:p>
    <w:p>
      <w:pPr>
        <w:spacing w:before="0" w:after="0" w:line="240"/>
        <w:ind w:right="0" w:left="85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"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пунктами 1 и 2 графы 2 Перечня, подлежащих размещению в единой информационной системе в сфере закупок, - не позднее двух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или приглашения принять участие в определении поставщика (подрядчика, исполнителя) в форме электронного документа. Информация, содержащаяся в Сведениях о бюджетном обязательстве, должна соответствовать аналогичной информации, содержащейся в указанном извещении;</w:t>
      </w:r>
    </w:p>
    <w:p>
      <w:pPr>
        <w:spacing w:before="0" w:after="0" w:line="240"/>
        <w:ind w:right="0" w:left="85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пунктом 2 графы 2 Перечня, не подлежащих размещению в единой информационной системе в сфере закупок, - одновременно с направлением выписки из приглашения принять участие в определении поставщика (подрядчика, исполнителя) в орган, осуществляющий контроль, в соответствии с Правилами осуществления контроля, предусмотренного частями 5 и 5.1 статьи 99 Федерального закона "О контрактной системе в сфере закупок товаров, работ, услуг для обеспечения государственных и муниципальных нужд", утвержденными постановлением Правительства Российской Федерации от 6 августа 2020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г. N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1193 "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 порядке осуществления контроля, предусмотренного частями 5 и 5.1 статьи 99 Федерального закона "О контрактной системе в сфере закупок товаров, работ, услуг для обеспечения государственных и муниципальных нужд", и об изменении и признании утратившими силу некоторых актов Правительства Российской Федерации";";</w:t>
      </w:r>
    </w:p>
    <w:p>
      <w:pPr>
        <w:spacing w:before="0" w:after="0" w:line="240"/>
        <w:ind w:right="0" w:left="85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4)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 пункте 9 после слов "поставленное на учет бюджетное обязательство" дополнить словами "(аннулирования неисполненной части бюджетного обязательства)";</w:t>
      </w:r>
    </w:p>
    <w:p>
      <w:pPr>
        <w:spacing w:before="0" w:after="0" w:line="240"/>
        <w:ind w:right="0" w:left="85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5)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 пункте 11: </w:t>
      </w:r>
    </w:p>
    <w:p>
      <w:pPr>
        <w:spacing w:before="0" w:after="0" w:line="240"/>
        <w:ind w:right="0" w:left="85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абзац шестой части первой изложить в следующей редакции:</w:t>
      </w:r>
    </w:p>
    <w:p>
      <w:pPr>
        <w:spacing w:before="0" w:after="0" w:line="240"/>
        <w:ind w:right="0" w:left="85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"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наличие в Сведениях о бюджетном обязательстве идентификатора муниципального контракта (контракта, договора, соглашения), сформированного в соответствии с Порядком формирования идентификатора муниципального контракта, договора (соглашения) при казначейском сопровождении средств, утвержденным приказом Министерства финансов Российской Федерации от 2 декабря 2021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г. N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205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 "Об утверждении Порядка формирования идентификатора государственного контракта, договора (соглашения) при казначейском сопровождении средств", (далее - идентификатор государственного контракта (контракта, договора, соглашения)), в случае, если по муниципальному контракту (контракту, договору, соглашению) осуществляются платежи, подлежащие казначейскому сопровождению в соответствии с пунктом 1 статьи 242.26 Бюджетного кодекса Российской Федерации и федеральным законом о федеральном бюджете на соответствующий финансовый год и плановый период;";</w:t>
      </w:r>
    </w:p>
    <w:p>
      <w:pPr>
        <w:spacing w:before="0" w:after="0" w:line="240"/>
        <w:ind w:right="0" w:left="85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часть третью признать утратившей силу;</w:t>
      </w:r>
    </w:p>
    <w:p>
      <w:pPr>
        <w:spacing w:before="0" w:after="0" w:line="240"/>
        <w:ind w:right="0" w:left="85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6)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 части первой пункта 12 после слов "в части первой пункта 11 настоящего Порядка, и" дополнить словами "не позднее рабочего дня, следующего за днем постановки на учет бюджетного обязательства (внесения изменений в бюджетное обязательство),";</w:t>
      </w:r>
    </w:p>
    <w:p>
      <w:pPr>
        <w:spacing w:before="0" w:after="0" w:line="240"/>
        <w:ind w:right="0" w:left="85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7)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 абзаце втором части первой пункта 14 слова ", части третьей" исключить;</w:t>
      </w:r>
    </w:p>
    <w:p>
      <w:pPr>
        <w:spacing w:before="0" w:after="0" w:line="240"/>
        <w:ind w:right="0" w:left="85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8)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 абзаце пятом пункта 15 слова "в день постановки на учет" заменить словами "и не позднее рабочего дня, следующего за днем постановки на учет";</w:t>
      </w:r>
    </w:p>
    <w:p>
      <w:pPr>
        <w:spacing w:before="0" w:after="0" w:line="240"/>
        <w:ind w:right="0" w:left="85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9)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 пункте 16:</w:t>
      </w:r>
    </w:p>
    <w:p>
      <w:pPr>
        <w:spacing w:before="0" w:after="0" w:line="240"/>
        <w:ind w:right="0" w:left="85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 части четвертой слова "абзацев третьего и" заменить словом "абзаца";</w:t>
      </w:r>
    </w:p>
    <w:p>
      <w:pPr>
        <w:spacing w:before="0" w:after="0" w:line="240"/>
        <w:ind w:right="0" w:left="85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10)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абзац первый части второй пункта 20 изложить в следующей редакции:</w:t>
      </w:r>
    </w:p>
    <w:p>
      <w:pPr>
        <w:spacing w:before="0" w:after="0" w:line="240"/>
        <w:ind w:right="0" w:left="85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"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Сведения о денежных обязательствах, не содержащие сведения, составляющие государственную тайну, формируются получателем средств сельского поселения в течение трех рабочих дней со дня, следующего за днем возникновения денежного обязательства, в случае:";</w:t>
      </w:r>
    </w:p>
    <w:p>
      <w:pPr>
        <w:spacing w:before="0" w:after="0" w:line="240"/>
        <w:ind w:right="0" w:left="85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11)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 части первой пункта 23 слова "и в срок, установленный частью второй пункта 20 настоящего Порядка," заменить словами "и в день постановки на учет денежного обязательства (внесения изменений в денежное обязательство)";</w:t>
      </w:r>
    </w:p>
    <w:p>
      <w:pPr>
        <w:spacing w:before="0" w:after="0" w:line="240"/>
        <w:ind w:right="0" w:left="85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12)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 абзаце первом пункта 24 слова "в срок, установленный частью второй пункта 20 настоящего Порядка" заменить словами "в день осуществления проверки";</w:t>
      </w:r>
    </w:p>
    <w:p>
      <w:pPr>
        <w:spacing w:before="0" w:after="0" w:line="240"/>
        <w:ind w:right="0" w:left="85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13)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пункт 3 приложения изложить в следующей редакции:</w:t>
      </w:r>
    </w:p>
    <w:p>
      <w:pPr>
        <w:spacing w:before="0" w:after="0" w:line="240"/>
        <w:ind w:right="0" w:left="85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"</w:t>
      </w:r>
    </w:p>
    <w:tbl>
      <w:tblPr/>
      <w:tblGrid>
        <w:gridCol w:w="600"/>
        <w:gridCol w:w="4583"/>
        <w:gridCol w:w="4957"/>
      </w:tblGrid>
      <w:tr>
        <w:trPr>
          <w:trHeight w:val="240" w:hRule="auto"/>
          <w:jc w:val="left"/>
        </w:trPr>
        <w:tc>
          <w:tcPr>
            <w:tcW w:w="600" w:type="dxa"/>
            <w:vMerge w:val="restart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6" w:type="dxa"/>
              <w:right w:w="6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3.</w:t>
            </w:r>
          </w:p>
        </w:tc>
        <w:tc>
          <w:tcPr>
            <w:tcW w:w="4583" w:type="dxa"/>
            <w:vMerge w:val="restart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6" w:type="dxa"/>
              <w:right w:w="6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Муниципальный контракт (договор) на поставку товаров, выполнение работ, оказание услуг для обеспечения нужд сельского поселения, сведения о котором подлежат включению в определенный законодательством Российской Федерации о контрактной системе в сфере закупок товаров, работ, услуг для обеспечения муниципальных нужд реестр контрактов, за исключением муниципальных контрактов (договоров), указанных в пункте 13 настоящего Перечня</w:t>
            </w:r>
          </w:p>
        </w:tc>
        <w:tc>
          <w:tcPr>
            <w:tcW w:w="4957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6" w:type="dxa"/>
              <w:right w:w="6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Акт выполненных работ</w:t>
            </w:r>
          </w:p>
        </w:tc>
      </w:tr>
      <w:tr>
        <w:trPr>
          <w:trHeight w:val="1" w:hRule="atLeast"/>
          <w:jc w:val="left"/>
        </w:trPr>
        <w:tc>
          <w:tcPr>
            <w:tcW w:w="600" w:type="dxa"/>
            <w:vMerge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6" w:type="dxa"/>
              <w:right w:w="6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583" w:type="dxa"/>
            <w:vMerge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6" w:type="dxa"/>
              <w:right w:w="6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57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6" w:type="dxa"/>
              <w:right w:w="6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Акт об оказании услуг</w:t>
            </w:r>
          </w:p>
        </w:tc>
      </w:tr>
      <w:tr>
        <w:trPr>
          <w:trHeight w:val="1" w:hRule="atLeast"/>
          <w:jc w:val="left"/>
        </w:trPr>
        <w:tc>
          <w:tcPr>
            <w:tcW w:w="600" w:type="dxa"/>
            <w:vMerge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6" w:type="dxa"/>
              <w:right w:w="6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583" w:type="dxa"/>
            <w:vMerge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6" w:type="dxa"/>
              <w:right w:w="6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57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6" w:type="dxa"/>
              <w:right w:w="6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Акт приема-передачи</w:t>
            </w:r>
          </w:p>
        </w:tc>
      </w:tr>
      <w:tr>
        <w:trPr>
          <w:trHeight w:val="1" w:hRule="atLeast"/>
          <w:jc w:val="left"/>
        </w:trPr>
        <w:tc>
          <w:tcPr>
            <w:tcW w:w="600" w:type="dxa"/>
            <w:vMerge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6" w:type="dxa"/>
              <w:right w:w="6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583" w:type="dxa"/>
            <w:vMerge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6" w:type="dxa"/>
              <w:right w:w="6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57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6" w:type="dxa"/>
              <w:right w:w="6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Муниципальный контракт (в случае осуществления авансовых платежей в соответствии с условиями муниципального контракта, внесение арендной платы по муниципальному контракту)</w:t>
            </w:r>
          </w:p>
        </w:tc>
      </w:tr>
      <w:tr>
        <w:trPr>
          <w:trHeight w:val="1" w:hRule="atLeast"/>
          <w:jc w:val="left"/>
        </w:trPr>
        <w:tc>
          <w:tcPr>
            <w:tcW w:w="600" w:type="dxa"/>
            <w:vMerge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6" w:type="dxa"/>
              <w:right w:w="6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583" w:type="dxa"/>
            <w:vMerge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6" w:type="dxa"/>
              <w:right w:w="6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57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6" w:type="dxa"/>
              <w:right w:w="6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Документ о приемке товаров, выполненной работы (ее результатов), оказанной услуги, в том числе в электронной форме</w:t>
            </w:r>
          </w:p>
        </w:tc>
      </w:tr>
      <w:tr>
        <w:trPr>
          <w:trHeight w:val="1" w:hRule="atLeast"/>
          <w:jc w:val="left"/>
        </w:trPr>
        <w:tc>
          <w:tcPr>
            <w:tcW w:w="600" w:type="dxa"/>
            <w:vMerge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6" w:type="dxa"/>
              <w:right w:w="6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583" w:type="dxa"/>
            <w:vMerge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6" w:type="dxa"/>
              <w:right w:w="6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57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6" w:type="dxa"/>
              <w:right w:w="6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Справка-расчет или иной документ, являющийся основанием для оплаты неустойки</w:t>
            </w:r>
          </w:p>
        </w:tc>
      </w:tr>
      <w:tr>
        <w:trPr>
          <w:trHeight w:val="1" w:hRule="atLeast"/>
          <w:jc w:val="left"/>
        </w:trPr>
        <w:tc>
          <w:tcPr>
            <w:tcW w:w="600" w:type="dxa"/>
            <w:vMerge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6" w:type="dxa"/>
              <w:right w:w="6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583" w:type="dxa"/>
            <w:vMerge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6" w:type="dxa"/>
              <w:right w:w="6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57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6" w:type="dxa"/>
              <w:right w:w="6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Счет</w:t>
            </w:r>
          </w:p>
        </w:tc>
      </w:tr>
      <w:tr>
        <w:trPr>
          <w:trHeight w:val="1" w:hRule="atLeast"/>
          <w:jc w:val="left"/>
        </w:trPr>
        <w:tc>
          <w:tcPr>
            <w:tcW w:w="600" w:type="dxa"/>
            <w:vMerge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6" w:type="dxa"/>
              <w:right w:w="6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583" w:type="dxa"/>
            <w:vMerge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6" w:type="dxa"/>
              <w:right w:w="6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57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6" w:type="dxa"/>
              <w:right w:w="6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Счет-фактура</w:t>
            </w:r>
          </w:p>
        </w:tc>
      </w:tr>
      <w:tr>
        <w:trPr>
          <w:trHeight w:val="1" w:hRule="atLeast"/>
          <w:jc w:val="left"/>
        </w:trPr>
        <w:tc>
          <w:tcPr>
            <w:tcW w:w="600" w:type="dxa"/>
            <w:vMerge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6" w:type="dxa"/>
              <w:right w:w="6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583" w:type="dxa"/>
            <w:vMerge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6" w:type="dxa"/>
              <w:right w:w="6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57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6" w:type="dxa"/>
              <w:right w:w="6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Товарная накладная (унифицированная форма N ТОРГ-12) (ф.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0330212)</w:t>
            </w:r>
          </w:p>
        </w:tc>
      </w:tr>
      <w:tr>
        <w:trPr>
          <w:trHeight w:val="1" w:hRule="atLeast"/>
          <w:jc w:val="left"/>
        </w:trPr>
        <w:tc>
          <w:tcPr>
            <w:tcW w:w="600" w:type="dxa"/>
            <w:vMerge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6" w:type="dxa"/>
              <w:right w:w="6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583" w:type="dxa"/>
            <w:vMerge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6" w:type="dxa"/>
              <w:right w:w="6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57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6" w:type="dxa"/>
              <w:right w:w="6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Универсальный передаточный документ</w:t>
            </w:r>
          </w:p>
        </w:tc>
      </w:tr>
      <w:tr>
        <w:trPr>
          <w:trHeight w:val="1" w:hRule="atLeast"/>
          <w:jc w:val="left"/>
        </w:trPr>
        <w:tc>
          <w:tcPr>
            <w:tcW w:w="600" w:type="dxa"/>
            <w:vMerge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6" w:type="dxa"/>
              <w:right w:w="6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583" w:type="dxa"/>
            <w:vMerge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6" w:type="dxa"/>
              <w:right w:w="6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57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6" w:type="dxa"/>
              <w:right w:w="6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Чек</w:t>
            </w:r>
          </w:p>
        </w:tc>
      </w:tr>
      <w:tr>
        <w:trPr>
          <w:trHeight w:val="1" w:hRule="atLeast"/>
          <w:jc w:val="left"/>
        </w:trPr>
        <w:tc>
          <w:tcPr>
            <w:tcW w:w="600" w:type="dxa"/>
            <w:vMerge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6" w:type="dxa"/>
              <w:right w:w="6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583" w:type="dxa"/>
            <w:vMerge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6" w:type="dxa"/>
              <w:right w:w="6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57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6" w:type="dxa"/>
              <w:right w:w="6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Иной документ, подтверждающий возникновение денежного обязательства получателя средствсельского поселения (далее - иной документ, подтверждающий возникновение денежного обязательства) по бюджетному обязательству получателя средств районного бюджета, возникшему на основании муниципального контракта.</w:t>
            </w:r>
          </w:p>
        </w:tc>
      </w:tr>
    </w:tbl>
    <w:p>
      <w:pPr>
        <w:spacing w:before="0" w:after="0" w:line="240"/>
        <w:ind w:right="0" w:left="0" w:firstLine="709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».</w:t>
      </w:r>
    </w:p>
    <w:p>
      <w:pPr>
        <w:spacing w:before="0" w:after="0" w:line="240"/>
        <w:ind w:right="0" w:left="710" w:hanging="1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Настоящий Постановление вступает в силу после дня его подписания.</w:t>
      </w:r>
    </w:p>
    <w:p>
      <w:pPr>
        <w:spacing w:before="0" w:after="0" w:line="240"/>
        <w:ind w:right="0" w:left="710" w:hanging="1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</w:p>
    <w:p>
      <w:pPr>
        <w:spacing w:before="0" w:after="0" w:line="240"/>
        <w:ind w:right="0" w:left="710" w:hanging="1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</w:p>
    <w:p>
      <w:pPr>
        <w:spacing w:before="0" w:after="0" w:line="240"/>
        <w:ind w:right="0" w:left="710" w:hanging="1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</w:p>
    <w:p>
      <w:pPr>
        <w:spacing w:before="0" w:after="0" w:line="240"/>
        <w:ind w:right="0" w:left="710" w:hanging="1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Глава</w:t>
      </w:r>
    </w:p>
    <w:p>
      <w:pPr>
        <w:spacing w:before="0" w:after="0" w:line="240"/>
        <w:ind w:right="0" w:left="710" w:hanging="1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Апраксинского сельского поселения                              Т.А.Глебова</w:t>
      </w:r>
    </w:p>
    <w:p>
      <w:pPr>
        <w:spacing w:before="0" w:after="0" w:line="240"/>
        <w:ind w:right="0" w:left="710" w:hanging="1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