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0" w:after="0" w:line="240"/>
        <w:ind w:right="-284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u w:val="single"/>
          <w:shd w:fill="auto" w:val="clear"/>
        </w:rPr>
      </w:pPr>
    </w:p>
    <w:p>
      <w:pPr>
        <w:suppressAutoHyphens w:val="true"/>
        <w:spacing w:before="0" w:after="0" w:line="240"/>
        <w:ind w:right="-284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-284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АПРАКСИНСКОГО СЕЛЬСКОГО ПОСЕЛЕНИЯ</w:t>
      </w:r>
    </w:p>
    <w:p>
      <w:pPr>
        <w:suppressAutoHyphens w:val="true"/>
        <w:spacing w:before="0" w:after="0" w:line="240"/>
        <w:ind w:right="-284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ЧАМЗИНСКОГО МУНИЦИПАЛЬНОГО РАЙОНА </w:t>
      </w:r>
    </w:p>
    <w:p>
      <w:pPr>
        <w:suppressAutoHyphens w:val="true"/>
        <w:spacing w:before="0" w:after="0" w:line="240"/>
        <w:ind w:right="-284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РЕСПУБЛИКИ МОРДОВИЯ</w:t>
      </w:r>
    </w:p>
    <w:p>
      <w:pPr>
        <w:suppressAutoHyphens w:val="true"/>
        <w:spacing w:before="0" w:after="0" w:line="240"/>
        <w:ind w:right="-284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-284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-284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ПОСТАНОВЛЕНИЕ</w:t>
      </w:r>
    </w:p>
    <w:p>
      <w:pPr>
        <w:suppressAutoHyphens w:val="true"/>
        <w:spacing w:before="0" w:after="0" w:line="240"/>
        <w:ind w:right="-284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-284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13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.09.2022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г.</w:t>
        <w:tab/>
        <w:tab/>
        <w:tab/>
        <w:tab/>
        <w:t xml:space="preserve">                                                           № 36Г</w:t>
      </w:r>
    </w:p>
    <w:p>
      <w:pPr>
        <w:suppressAutoHyphens w:val="true"/>
        <w:spacing w:before="0" w:after="0" w:line="240"/>
        <w:ind w:right="-284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36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п. Апраксино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О внесении изменений в Муниципальную Программу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Благоустройство территории Апраксинского сельского поселения Чамзинского муниципального района на 2019-2022 годы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утвержденную постановлением Администрации Апраксинского сельского поселения от 27.11.2018 г. № 48(с измениниями от 21.06.2019 №37А. от 30.09.2020 №25.1.1 от 12.03.2021 №7)</w:t>
      </w:r>
    </w:p>
    <w:p>
      <w:pPr>
        <w:spacing w:before="0" w:after="0" w:line="240"/>
        <w:ind w:right="0" w:left="0" w:hanging="348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uppressAutoHyphens w:val="true"/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соответствии с Федеральным законом от 06.10.2003 № 131-ФЗ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ст. 179 Бюджетного кодекса Российской Федерации, Решения Совета депутатов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сельского поселения Чамзинского муниципального района №65  от  31.03.2011  года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 утверждении Правил благоустройства, чистоты и порядка на территории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сельского поселения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администрация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сельского поселения Чамзинского муниципального района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ПОСТАНОВЛЯЕТ: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1.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Продлить срок действия муниципальной программы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Благоустройство территории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сельского поселения Чамзинского муниципального района на 2019-2025 годы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утвержденную постановлением администрации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сельского поселения от 27.11.2018 г. № 48, (с изменениями от 21.06.2019 г. №37А от 30.09.2020 №25.1.1, от 13.03.2021 №7) до 2025 года.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Изложить Муниципальную Программу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Благоустройство территории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Апраксинского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сельского поселения Чамзинского муниципального района на 2019-2025 годы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новой редакции.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Настоящее Постановление подлежит официальному опубликованию в информационном бюллетене Алексеевского сельского поселения Чамзинского муниципального района.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Контроль за исполнением настоящего постановления оставляю за собой.</w:t>
      </w:r>
    </w:p>
    <w:p>
      <w:pPr>
        <w:spacing w:before="0" w:after="0" w:line="240"/>
        <w:ind w:right="0" w:left="0" w:firstLine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И.о.главы администрации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  <w:t xml:space="preserve">Апраксинского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сельского поселения                    </w:t>
        <w:tab/>
        <w:t xml:space="preserve">             Т.А.Глебова</w:t>
      </w:r>
    </w:p>
    <w:p>
      <w:pPr>
        <w:spacing w:before="0" w:after="200" w:line="276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Приложение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к Постановлению администрации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Апраксинского сельского поселения</w:t>
      </w: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  <w:t xml:space="preserve">Чамзинского муниципального района</w:t>
      </w:r>
    </w:p>
    <w:p>
      <w:pPr>
        <w:tabs>
          <w:tab w:val="left" w:pos="7515" w:leader="none"/>
        </w:tabs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ab/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От 12.03.2021 № 7</w:t>
      </w:r>
    </w:p>
    <w:p>
      <w:pPr>
        <w:tabs>
          <w:tab w:val="left" w:pos="7515" w:leader="none"/>
        </w:tabs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                                                                                                                                                        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Муниципальная Программа 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Благоустройство территории Апраксинского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сельского поселения Чамзинского муниципального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района на 2019-2025 годы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b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FFFF00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FFFF00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FFFF00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ПАСПОРТ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Муниципальной Программы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Благоустройство территории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Апраксинского сельского поселения Чамзинского муниципального района на 2019-2025 годы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tbl>
      <w:tblPr/>
      <w:tblGrid>
        <w:gridCol w:w="2518"/>
        <w:gridCol w:w="7513"/>
      </w:tblGrid>
      <w:tr>
        <w:trPr>
          <w:trHeight w:val="776" w:hRule="auto"/>
          <w:jc w:val="left"/>
        </w:trPr>
        <w:tc>
          <w:tcPr>
            <w:tcW w:w="25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программы</w:t>
            </w:r>
          </w:p>
        </w:tc>
        <w:tc>
          <w:tcPr>
            <w:tcW w:w="75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Муниципальная Программа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Благоустройство территории Апраксинского сельского поселения Чамзинского муниципальногорайона на 2019-2025 годы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590" w:hRule="auto"/>
          <w:jc w:val="left"/>
        </w:trPr>
        <w:tc>
          <w:tcPr>
            <w:tcW w:w="25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Участники Программы</w:t>
            </w:r>
          </w:p>
        </w:tc>
        <w:tc>
          <w:tcPr>
            <w:tcW w:w="75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Администрация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сельское поселение Чамзинского муниципальногорайона Республики Мордовия</w:t>
            </w:r>
          </w:p>
        </w:tc>
      </w:tr>
      <w:tr>
        <w:trPr>
          <w:trHeight w:val="776" w:hRule="auto"/>
          <w:jc w:val="left"/>
        </w:trPr>
        <w:tc>
          <w:tcPr>
            <w:tcW w:w="25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Основания для разработки Программы</w:t>
            </w:r>
          </w:p>
        </w:tc>
        <w:tc>
          <w:tcPr>
            <w:tcW w:w="75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Правовые основания:</w:t>
            </w:r>
          </w:p>
          <w:p>
            <w:pPr>
              <w:widowControl w:val="false"/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Федеральный закон от 06 октября 2003 года № 131-ФЗ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 общих принципах организации местного самоуправления в Российской Федерации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», 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Статья 179 Бюджетного кодекса Российской Федерации, 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Решения Совета депутатов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сельского поселения Чамзинского муниципального района от 29.05.2012 года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«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Об утверждении Норм и Правил благоустройства, чистоты и порядка на территории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 сельского поселения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6"/>
                <w:shd w:fill="auto" w:val="clear"/>
              </w:rPr>
              <w:t xml:space="preserve">»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»</w:t>
            </w:r>
          </w:p>
        </w:tc>
      </w:tr>
      <w:tr>
        <w:trPr>
          <w:trHeight w:val="568" w:hRule="auto"/>
          <w:jc w:val="left"/>
        </w:trPr>
        <w:tc>
          <w:tcPr>
            <w:tcW w:w="25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Цель программы</w:t>
            </w:r>
          </w:p>
        </w:tc>
        <w:tc>
          <w:tcPr>
            <w:tcW w:w="75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Комплексное решение проблем благоустройства, обеспечение и улучшение внешнего вида территории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сельского поселения Чамзинского муниципального района, способствующего комфортной жизнедеятельности и отдыха населения;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Повышение уровня внешнего благоустройства и санитарного содержания территории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сельского поселения Чамзинского муниципального района</w:t>
            </w:r>
          </w:p>
        </w:tc>
      </w:tr>
      <w:tr>
        <w:trPr>
          <w:trHeight w:val="776" w:hRule="auto"/>
          <w:jc w:val="left"/>
        </w:trPr>
        <w:tc>
          <w:tcPr>
            <w:tcW w:w="25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Задачи программы</w:t>
            </w:r>
          </w:p>
        </w:tc>
        <w:tc>
          <w:tcPr>
            <w:tcW w:w="75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Организация взаимодействия между предприятиями, организациями и учреждениями при решении вопросов благоустройства поселения;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Приведение в качественное состояние элементов благоустройства;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Привлечение жителей к участию в решении проблем благоустройства населенных пунктов;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Оздоровление санитарной экологической обстановки в поселении;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000000"/>
                <w:spacing w:val="0"/>
                <w:position w:val="0"/>
                <w:sz w:val="24"/>
                <w:shd w:fill="auto" w:val="clear"/>
              </w:rPr>
              <w:t xml:space="preserve">Поэтапное улучшение внешнего облика поселения</w:t>
            </w:r>
          </w:p>
        </w:tc>
      </w:tr>
      <w:tr>
        <w:trPr>
          <w:trHeight w:val="776" w:hRule="auto"/>
          <w:jc w:val="left"/>
        </w:trPr>
        <w:tc>
          <w:tcPr>
            <w:tcW w:w="25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Основные мероприятия</w:t>
            </w:r>
          </w:p>
        </w:tc>
        <w:tc>
          <w:tcPr>
            <w:tcW w:w="75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Текущее содержание и обслуживание наружных сетей уличного освещения территории сельского поселения;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Благоустройство и озеленение территории сельского поселения;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Благоустройство и содержание мест захоронения;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Прочие мероприятия по благоустройству территории сельского поселения;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Ремонт памятников воинам ВОВ</w:t>
            </w:r>
          </w:p>
        </w:tc>
      </w:tr>
      <w:tr>
        <w:trPr>
          <w:trHeight w:val="509" w:hRule="auto"/>
          <w:jc w:val="left"/>
        </w:trPr>
        <w:tc>
          <w:tcPr>
            <w:tcW w:w="25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Срок реализации Программы</w:t>
            </w:r>
          </w:p>
        </w:tc>
        <w:tc>
          <w:tcPr>
            <w:tcW w:w="75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2019-2025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</w:tr>
      <w:tr>
        <w:trPr>
          <w:trHeight w:val="415" w:hRule="auto"/>
          <w:jc w:val="left"/>
        </w:trPr>
        <w:tc>
          <w:tcPr>
            <w:tcW w:w="25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Объемы и источники финансирования Программы</w:t>
            </w:r>
          </w:p>
        </w:tc>
        <w:tc>
          <w:tcPr>
            <w:tcW w:w="75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Финансирование Программы осуществляется за счет средств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сельского поселения Чамзинского муниципального района.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Общий объем необходимых финансовых средств для реализации Программы из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 сельского поселения Чамзинского муниципального района составляет 2958,3463тыс.рублей, в том числе по годам: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7030A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7030A0"/>
                <w:spacing w:val="0"/>
                <w:position w:val="0"/>
                <w:sz w:val="24"/>
                <w:shd w:fill="auto" w:val="clear"/>
              </w:rPr>
              <w:t xml:space="preserve">2019 </w:t>
            </w:r>
            <w:r>
              <w:rPr>
                <w:rFonts w:ascii="Times New Roman" w:hAnsi="Times New Roman" w:cs="Times New Roman" w:eastAsia="Times New Roman"/>
                <w:color w:val="7030A0"/>
                <w:spacing w:val="0"/>
                <w:position w:val="0"/>
                <w:sz w:val="24"/>
                <w:shd w:fill="auto" w:val="clear"/>
              </w:rPr>
              <w:t xml:space="preserve">год – 384,5тыс.рублей;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7030A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7030A0"/>
                <w:spacing w:val="0"/>
                <w:position w:val="0"/>
                <w:sz w:val="24"/>
                <w:shd w:fill="auto" w:val="clear"/>
              </w:rPr>
              <w:t xml:space="preserve">2020 </w:t>
            </w:r>
            <w:r>
              <w:rPr>
                <w:rFonts w:ascii="Times New Roman" w:hAnsi="Times New Roman" w:cs="Times New Roman" w:eastAsia="Times New Roman"/>
                <w:color w:val="7030A0"/>
                <w:spacing w:val="0"/>
                <w:position w:val="0"/>
                <w:sz w:val="24"/>
                <w:shd w:fill="auto" w:val="clear"/>
              </w:rPr>
              <w:t xml:space="preserve">год –379,7463тыс.рублей;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7030A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7030A0"/>
                <w:spacing w:val="0"/>
                <w:position w:val="0"/>
                <w:sz w:val="24"/>
                <w:shd w:fill="auto" w:val="clear"/>
              </w:rPr>
              <w:t xml:space="preserve">2021 </w:t>
            </w:r>
            <w:r>
              <w:rPr>
                <w:rFonts w:ascii="Times New Roman" w:hAnsi="Times New Roman" w:cs="Times New Roman" w:eastAsia="Times New Roman"/>
                <w:color w:val="7030A0"/>
                <w:spacing w:val="0"/>
                <w:position w:val="0"/>
                <w:sz w:val="24"/>
                <w:shd w:fill="auto" w:val="clear"/>
              </w:rPr>
              <w:t xml:space="preserve">год – 340,8тыс.рублей;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7030A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7030A0"/>
                <w:spacing w:val="0"/>
                <w:position w:val="0"/>
                <w:sz w:val="24"/>
                <w:shd w:fill="auto" w:val="clear"/>
              </w:rPr>
              <w:t xml:space="preserve">2022 </w:t>
            </w:r>
            <w:r>
              <w:rPr>
                <w:rFonts w:ascii="Times New Roman" w:hAnsi="Times New Roman" w:cs="Times New Roman" w:eastAsia="Times New Roman"/>
                <w:color w:val="7030A0"/>
                <w:spacing w:val="0"/>
                <w:position w:val="0"/>
                <w:sz w:val="24"/>
                <w:shd w:fill="auto" w:val="clear"/>
              </w:rPr>
              <w:t xml:space="preserve">год – 563тыс.рублей;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7030A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7030A0"/>
                <w:spacing w:val="0"/>
                <w:position w:val="0"/>
                <w:sz w:val="24"/>
                <w:shd w:fill="auto" w:val="clear"/>
              </w:rPr>
              <w:t xml:space="preserve">2023 </w:t>
            </w:r>
            <w:r>
              <w:rPr>
                <w:rFonts w:ascii="Times New Roman" w:hAnsi="Times New Roman" w:cs="Times New Roman" w:eastAsia="Times New Roman"/>
                <w:color w:val="7030A0"/>
                <w:spacing w:val="0"/>
                <w:position w:val="0"/>
                <w:sz w:val="24"/>
                <w:shd w:fill="auto" w:val="clear"/>
              </w:rPr>
              <w:t xml:space="preserve">год – 397,7тыс.рублей;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7030A0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7030A0"/>
                <w:spacing w:val="0"/>
                <w:position w:val="0"/>
                <w:sz w:val="24"/>
                <w:shd w:fill="auto" w:val="clear"/>
              </w:rPr>
              <w:t xml:space="preserve">2024 </w:t>
            </w:r>
            <w:r>
              <w:rPr>
                <w:rFonts w:ascii="Times New Roman" w:hAnsi="Times New Roman" w:cs="Times New Roman" w:eastAsia="Times New Roman"/>
                <w:color w:val="7030A0"/>
                <w:spacing w:val="0"/>
                <w:position w:val="0"/>
                <w:sz w:val="24"/>
                <w:shd w:fill="auto" w:val="clear"/>
              </w:rPr>
              <w:t xml:space="preserve">год – 412,4тыс.рублей;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7030A0"/>
                <w:spacing w:val="0"/>
                <w:position w:val="0"/>
                <w:sz w:val="24"/>
                <w:shd w:fill="auto" w:val="clear"/>
              </w:rPr>
              <w:t xml:space="preserve">2025 </w:t>
            </w:r>
            <w:r>
              <w:rPr>
                <w:rFonts w:ascii="Times New Roman" w:hAnsi="Times New Roman" w:cs="Times New Roman" w:eastAsia="Times New Roman"/>
                <w:color w:val="7030A0"/>
                <w:spacing w:val="0"/>
                <w:position w:val="0"/>
                <w:sz w:val="24"/>
                <w:shd w:fill="auto" w:val="clear"/>
              </w:rPr>
              <w:t xml:space="preserve">год – 480,2тыс.рублей.</w:t>
            </w:r>
          </w:p>
        </w:tc>
      </w:tr>
      <w:tr>
        <w:trPr>
          <w:trHeight w:val="776" w:hRule="auto"/>
          <w:jc w:val="left"/>
        </w:trPr>
        <w:tc>
          <w:tcPr>
            <w:tcW w:w="25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Ожидаемые результаты реализации Программы</w:t>
            </w:r>
          </w:p>
        </w:tc>
        <w:tc>
          <w:tcPr>
            <w:tcW w:w="75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Комплексное решение проблем благоустройства, способствующее комфортной жизнедеятельности, культурного отдыха и досуга населения; 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Улучшение санитарного и экологического состояния поселения</w:t>
            </w:r>
          </w:p>
        </w:tc>
      </w:tr>
    </w:tbl>
    <w:p>
      <w:pPr>
        <w:spacing w:before="0" w:after="0" w:line="24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Общая характеристика сферы реализации муниципальной программы</w:t>
      </w:r>
    </w:p>
    <w:p>
      <w:pPr>
        <w:spacing w:before="0" w:after="0" w:line="240"/>
        <w:ind w:right="0" w:left="0" w:firstLine="54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Одной из важнейших задач поселения является благоустройство его внешнего облика, создание оптимальных условий для жизни человека. Право граждан на благоприятную среду жизнедеятельности закреплено в основном законе государства – Конституции Российской Федерации, в связи с чем создание благоприятной для проживания и хозяйствования среды является одной из социально значимых задач, на успешное решение которой должны быть направлены совместные усилия, как органов местного самоуправления, так и самих граждан. 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Анализ сложившейся ситуации показал, что для нормального функционирования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сельского поселения Чамзинского муниципального района имеет большое значение инженерное благоустройство его территорий и улучшение санитарно-гигиенических условий жизни. 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Инженерное благоустройство территорий включает в себя такие вопросы, как устройство уличного освещения, озеленения, содержание мест захоронения, обустройство детских, спортивных площадок, обустройство парковых зон.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Проблема благоустройства сельского поселения является одной из насущных, требующая каждодневного внимания и эффективного решения.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Муниципальная Программа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Благоустройство территории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сельского поселения Чамзинского муниципального района на 2019-2025 годы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позволит благоустроить облик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Апраксинского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сельского поселения Чамзинского муниципального района, улучшить экологическую обстановку, создать комфортные и безопасные условия в зонах культурного отдыха и досуга граждан.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Финансирование муниципальной Программы предусматривается за счет средств бюджета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сельского поселения Чамзинского муниципального района.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Невыполнение мероприятий по благоустройству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Апраксинского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сельского поселения Чамзинского муниципального района приведет к ухудшению эстетической и экологической обстановки, увеличению воздействия вредных факторов среды обитания на здоровье населения, истощение природных ресурсов поселения, несоответствию мест массового отдыха жителей санитарно-гигиеническим требованиям. 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Цели, задачи, сроки и этапы реализации Программы</w:t>
      </w:r>
    </w:p>
    <w:p>
      <w:pPr>
        <w:spacing w:before="0" w:after="0" w:line="240"/>
        <w:ind w:right="0" w:left="0" w:firstLine="54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Совершенствование системы комплексного благоустройства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сельского поселение Чамзинского муниципального района, создание комфортных условий проживания и отдыха населения.</w:t>
      </w:r>
    </w:p>
    <w:p>
      <w:pPr>
        <w:suppressAutoHyphens w:val="true"/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Основной целью Программы является комплексное решение проблем благоустройства, обеспечение и улучшение внешнего вида территории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Апраксинского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сельского поселения Чамзинского муниципального района, способствующего комфортной жизнедеятельности и отдыха населения, повышение уровня внешнего благоустройства и санитарного содержания территории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сельского поселения Чамзинского муниципального района, развитие и поддержка инициатив жителей поселка по благоустройству санитарной очистке придомовых территорий.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Основные задачи Программы: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организация взаимодействия между предприятиями, организациями и учреждениями при решении вопросов благоустройства поселения; 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приведение в качественное состояние элементов благоустройства; 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привлечение жителей к участию в решении проблем благоустройства населенных пунктов;</w:t>
      </w:r>
    </w:p>
    <w:p>
      <w:pPr>
        <w:spacing w:before="0" w:after="0" w:line="240"/>
        <w:ind w:right="0" w:left="0" w:firstLine="54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оздоровление санитарной экологической обстановки в поселении;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поэтапное улучшение внешнего облика поселения</w:t>
      </w:r>
    </w:p>
    <w:p>
      <w:pPr>
        <w:spacing w:before="0" w:after="0" w:line="240"/>
        <w:ind w:right="0" w:left="0" w:firstLine="284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Целевые показатели достижения целей и решения задач, основные ожидаемые конечные результаты муниципальной программы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результате реализации программы ожидается создание условий, обеспечивающих комфортные условия для работы и отдыха населения на территории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сельского поселения Чамзинского муниципального района.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Эффективность программы оценивается по следующим показателям: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процент соответствия объектов внешнего благоустройства (тротуаров, озеленения, наружного освещения) ГОСТу;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процент привлечения предприятий, организаций и населения поселения к работам по благоустройству;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уровень благоустроенности поселения (обеспеченность поселения сетями наружного освещения, зелеными насаждениями, детскими игровыми и спортивными площадками, парковыми зонами).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Перечень целевых показателей Программы указан в Приложении № 1 к настоящей Программе.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Основные ожидаемые конечные результаты Программы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3.1.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Текущее содержание и обслуживание наружных сетей уличного освещения территории сельского поселения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»: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 01.01.2022 года количество светильников наружного освещения на территории Алексеевского сельского поселения Чамзинского муниципального района составляет –22 шт. Проводится ежегодное содержание сети уличного освещения путем замены перегоревших ламп и вышедших из строя светильников.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3.2.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Благоустройство и озеленение территории сельского поселения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»: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увеличение уровня озеленения территории поселения;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удаление сухостойных, больных и аварийных деревьев;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увеличение доли мест массового отдыха.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3.3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Благоустройство и содержание мест захоронения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»: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улучшение санитарного и экологического состояния территории мест захоронения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Апраксинского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сельского поселения Чамзинского муниципального района.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3.4.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Прочие мероприятия по благоустройству территории сельского поселения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»: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благоустройство территории поселения;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повышение степени удовлетворенности населения уровнем благоустройства;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улучшение технического состояния отдельных объектов благоустройства;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повышение уровня эстетики поселения;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привлечение жителей поселения к участию по благоустройству территории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сельского поселения Чамзинского муниципального района.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3.5.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Ремонт памятников воинам ВОВ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»: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 территории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Апраксинского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сельского поселения Чамзинского муниципального района установлены дра памятника воинам ВОВ. Ежегодно провидятся мероприятия их по содержанию.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Ожидаемые конечные результаты Программы связаны с обеспечением надежной работы объектов благоустройства, экологической безопасности, эстетическими и другими свойствами в целом, улучшающими вид территории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сельского поселения Чамзинского муниципального района.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Обобщенная характеристика основных мероприятий муниципальной программы.</w:t>
      </w:r>
    </w:p>
    <w:p>
      <w:pPr>
        <w:spacing w:before="0" w:after="0" w:line="240"/>
        <w:ind w:right="0" w:left="0" w:firstLine="54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Одной из проблем благоустройства территории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сельского поселения Чамзинского муниципального района является негативное отношение жителей к элементам благоустройства: приводятся в негодность спортивные площадки, разрушаются фасады памятников, нарушается санитарное состояние территории поселения.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Анализ показывает, что проблема заключается в низком уровне культуры поведения жителей на улицах и в общественных местах, небрежном отношении к элементам благоустройства.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Для обеспечения Программы благоустройства территории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сельского поселения Чамзинского муниципального района предлагается регулярно проводить следующие работы: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мероприятия по ремонту детских, спортивных площадок;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мероприятия по санитарной очистке территории;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мероприятия по чистке и ремонту колодцев.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Перечень основных мероприятий Программы указан в Приложении № 2 к настоящей Программе.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Обоснование объема финансовых ресурсов, необходимых для реализации муниципальной программы</w:t>
      </w:r>
    </w:p>
    <w:p>
      <w:pPr>
        <w:spacing w:before="0" w:after="0" w:line="240"/>
        <w:ind w:right="0" w:left="0" w:firstLine="54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Финансирование мероприятий Программы осуществляется за счет средств бюджета Алексеевского сельского поселения Чамзинского муниципального района.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Объем средств, предусмотренный на реализацию Программы из бюджета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сельского поселения Чамзинского муниципального района составляет 2958,3463.рублей, в том числе по годам: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7030A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7030A0"/>
          <w:spacing w:val="0"/>
          <w:position w:val="0"/>
          <w:sz w:val="24"/>
          <w:shd w:fill="auto" w:val="clear"/>
        </w:rPr>
        <w:t xml:space="preserve">2019 </w:t>
      </w:r>
      <w:r>
        <w:rPr>
          <w:rFonts w:ascii="Times New Roman" w:hAnsi="Times New Roman" w:cs="Times New Roman" w:eastAsia="Times New Roman"/>
          <w:color w:val="7030A0"/>
          <w:spacing w:val="0"/>
          <w:position w:val="0"/>
          <w:sz w:val="24"/>
          <w:shd w:fill="auto" w:val="clear"/>
        </w:rPr>
        <w:t xml:space="preserve">год – 384,5тыс.рублей;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7030A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7030A0"/>
          <w:spacing w:val="0"/>
          <w:position w:val="0"/>
          <w:sz w:val="24"/>
          <w:shd w:fill="auto" w:val="clear"/>
        </w:rPr>
        <w:t xml:space="preserve">2020 </w:t>
      </w:r>
      <w:r>
        <w:rPr>
          <w:rFonts w:ascii="Times New Roman" w:hAnsi="Times New Roman" w:cs="Times New Roman" w:eastAsia="Times New Roman"/>
          <w:color w:val="7030A0"/>
          <w:spacing w:val="0"/>
          <w:position w:val="0"/>
          <w:sz w:val="24"/>
          <w:shd w:fill="auto" w:val="clear"/>
        </w:rPr>
        <w:t xml:space="preserve">год –379,7463тыс.рублей;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7030A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7030A0"/>
          <w:spacing w:val="0"/>
          <w:position w:val="0"/>
          <w:sz w:val="24"/>
          <w:shd w:fill="auto" w:val="clear"/>
        </w:rPr>
        <w:t xml:space="preserve">2021 </w:t>
      </w:r>
      <w:r>
        <w:rPr>
          <w:rFonts w:ascii="Times New Roman" w:hAnsi="Times New Roman" w:cs="Times New Roman" w:eastAsia="Times New Roman"/>
          <w:color w:val="7030A0"/>
          <w:spacing w:val="0"/>
          <w:position w:val="0"/>
          <w:sz w:val="24"/>
          <w:shd w:fill="auto" w:val="clear"/>
        </w:rPr>
        <w:t xml:space="preserve">год – 340,8тыс.рублей;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7030A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7030A0"/>
          <w:spacing w:val="0"/>
          <w:position w:val="0"/>
          <w:sz w:val="24"/>
          <w:shd w:fill="auto" w:val="clear"/>
        </w:rPr>
        <w:t xml:space="preserve">2022 </w:t>
      </w:r>
      <w:r>
        <w:rPr>
          <w:rFonts w:ascii="Times New Roman" w:hAnsi="Times New Roman" w:cs="Times New Roman" w:eastAsia="Times New Roman"/>
          <w:color w:val="7030A0"/>
          <w:spacing w:val="0"/>
          <w:position w:val="0"/>
          <w:sz w:val="24"/>
          <w:shd w:fill="auto" w:val="clear"/>
        </w:rPr>
        <w:t xml:space="preserve">год – 563тыс.рублей;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7030A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7030A0"/>
          <w:spacing w:val="0"/>
          <w:position w:val="0"/>
          <w:sz w:val="24"/>
          <w:shd w:fill="auto" w:val="clear"/>
        </w:rPr>
        <w:t xml:space="preserve">2023 </w:t>
      </w:r>
      <w:r>
        <w:rPr>
          <w:rFonts w:ascii="Times New Roman" w:hAnsi="Times New Roman" w:cs="Times New Roman" w:eastAsia="Times New Roman"/>
          <w:color w:val="7030A0"/>
          <w:spacing w:val="0"/>
          <w:position w:val="0"/>
          <w:sz w:val="24"/>
          <w:shd w:fill="auto" w:val="clear"/>
        </w:rPr>
        <w:t xml:space="preserve">год – 397,7тыс.рублей;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7030A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7030A0"/>
          <w:spacing w:val="0"/>
          <w:position w:val="0"/>
          <w:sz w:val="24"/>
          <w:shd w:fill="auto" w:val="clear"/>
        </w:rPr>
        <w:t xml:space="preserve">2024 </w:t>
      </w:r>
      <w:r>
        <w:rPr>
          <w:rFonts w:ascii="Times New Roman" w:hAnsi="Times New Roman" w:cs="Times New Roman" w:eastAsia="Times New Roman"/>
          <w:color w:val="7030A0"/>
          <w:spacing w:val="0"/>
          <w:position w:val="0"/>
          <w:sz w:val="24"/>
          <w:shd w:fill="auto" w:val="clear"/>
        </w:rPr>
        <w:t xml:space="preserve">год – 412,4тыс.рублей;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7030A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7030A0"/>
          <w:spacing w:val="0"/>
          <w:position w:val="0"/>
          <w:sz w:val="24"/>
          <w:shd w:fill="auto" w:val="clear"/>
        </w:rPr>
        <w:t xml:space="preserve">2025 </w:t>
      </w:r>
      <w:r>
        <w:rPr>
          <w:rFonts w:ascii="Times New Roman" w:hAnsi="Times New Roman" w:cs="Times New Roman" w:eastAsia="Times New Roman"/>
          <w:color w:val="7030A0"/>
          <w:spacing w:val="0"/>
          <w:position w:val="0"/>
          <w:sz w:val="24"/>
          <w:shd w:fill="auto" w:val="clear"/>
        </w:rPr>
        <w:t xml:space="preserve">год – 480,2тыс. рублей;.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Финансирование мероприятий Программы за счет средств бюджета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сельского поселения Чамзинского муниципального района будет осуществляться в объемах, утвержденных Решением Совета депутатов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сельского поселения Чамзинского муниципального района о бюджете на очередной финансовый год и плановый период.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 реализации Программы, учитывая продолжительный период ее реализации возможно возникновение рисков, связанных с социально – экономическими факторами, инфляцией и другое, что может повлечь выполнение запланированных мероприятий не в полном объеме.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этом случае объемы средств, необходимых для финансирования мероприятий Программы в очередном году, уточняются, и в случае необходимости вносятся соответствующие изменения в Решение Совета депутатов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сельского поселения Чамзинского муниципального района о бюджете поселения на очередной финансовый год и на плановый период и в Программу.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Объемы финансирования Программы указаны в Приложении № 2 к настоящей Программе. </w:t>
      </w:r>
    </w:p>
    <w:p>
      <w:pPr>
        <w:spacing w:before="0" w:after="0" w:line="240"/>
        <w:ind w:right="0" w:left="0" w:firstLine="54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Механизм реализации муниципальной программы</w:t>
      </w:r>
    </w:p>
    <w:p>
      <w:pPr>
        <w:spacing w:before="0" w:after="0" w:line="240"/>
        <w:ind w:right="0" w:left="0" w:firstLine="54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Управление настоящей 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мероприятий.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Механизмы реализации Программы представляют собой скоординированные по срокам и направлениям действия исполнителей с учетом имеющихся социально-экономических условий. B зависимости от изменения задач на разной стадии исполнения отдельные мероприятия Программы могут быть заменены на другие, в большей степени отвечающие задачам конкретного периода.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Основным исполнителем настоящей Программы является: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Администрация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Апраксинского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сельского поселения Чамзинского муниципального района Республики Мордовия.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 процессе реализации муниципальной программы ответственный исполнитель вправе внести изменения в перечни и состав мероприятий, сроки их реализации,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Настоящая Программа считается завершенной после утверждения отчета о ее выполнении в установленном порядке.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54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0" w:line="240"/>
        <w:ind w:right="0" w:left="0" w:firstLine="567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Приложение № 1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Перечень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целевых показателей (индикаторов) Муниципальной Программы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Благоустройство территории Апраксинского сельского поселения Чамзинского муниципального района на 2019-2025 годы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tbl>
      <w:tblPr>
        <w:tblInd w:w="534" w:type="dxa"/>
      </w:tblPr>
      <w:tblGrid>
        <w:gridCol w:w="708"/>
        <w:gridCol w:w="7034"/>
        <w:gridCol w:w="1598"/>
        <w:gridCol w:w="813"/>
        <w:gridCol w:w="813"/>
        <w:gridCol w:w="813"/>
        <w:gridCol w:w="813"/>
        <w:gridCol w:w="813"/>
        <w:gridCol w:w="813"/>
        <w:gridCol w:w="815"/>
      </w:tblGrid>
      <w:tr>
        <w:trPr>
          <w:trHeight w:val="274" w:hRule="auto"/>
          <w:jc w:val="left"/>
        </w:trPr>
        <w:tc>
          <w:tcPr>
            <w:tcW w:w="708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№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п/п</w:t>
            </w:r>
          </w:p>
        </w:tc>
        <w:tc>
          <w:tcPr>
            <w:tcW w:w="7034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Наименование показателя (индикатора)</w:t>
            </w:r>
          </w:p>
        </w:tc>
        <w:tc>
          <w:tcPr>
            <w:tcW w:w="1598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Единица</w:t>
            </w:r>
          </w:p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измерения</w:t>
            </w:r>
          </w:p>
        </w:tc>
        <w:tc>
          <w:tcPr>
            <w:tcW w:w="5693" w:type="dxa"/>
            <w:gridSpan w:val="7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Планируемые значения показателей</w:t>
            </w:r>
          </w:p>
        </w:tc>
      </w:tr>
      <w:tr>
        <w:trPr>
          <w:trHeight w:val="583" w:hRule="auto"/>
          <w:jc w:val="left"/>
        </w:trPr>
        <w:tc>
          <w:tcPr>
            <w:tcW w:w="70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34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2019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  <w:tc>
          <w:tcPr>
            <w:tcW w:w="8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2020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  <w:tc>
          <w:tcPr>
            <w:tcW w:w="8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2021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  <w:tc>
          <w:tcPr>
            <w:tcW w:w="8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2022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  <w:tc>
          <w:tcPr>
            <w:tcW w:w="8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2023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  <w:tc>
          <w:tcPr>
            <w:tcW w:w="8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2024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  <w:tc>
          <w:tcPr>
            <w:tcW w:w="8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2025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год</w:t>
            </w:r>
          </w:p>
        </w:tc>
      </w:tr>
      <w:tr>
        <w:trPr>
          <w:trHeight w:val="549" w:hRule="auto"/>
          <w:jc w:val="left"/>
        </w:trPr>
        <w:tc>
          <w:tcPr>
            <w:tcW w:w="7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1.</w:t>
            </w:r>
          </w:p>
        </w:tc>
        <w:tc>
          <w:tcPr>
            <w:tcW w:w="70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Соответствие объектов внешнего благоустройства (тротуаров, уличного освещения, озеленения) ГОСТу;</w:t>
            </w:r>
          </w:p>
        </w:tc>
        <w:tc>
          <w:tcPr>
            <w:tcW w:w="159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процент</w:t>
            </w:r>
          </w:p>
        </w:tc>
        <w:tc>
          <w:tcPr>
            <w:tcW w:w="8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40</w:t>
            </w:r>
          </w:p>
        </w:tc>
        <w:tc>
          <w:tcPr>
            <w:tcW w:w="8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66" w:hRule="auto"/>
          <w:jc w:val="left"/>
        </w:trPr>
        <w:tc>
          <w:tcPr>
            <w:tcW w:w="7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2.</w:t>
            </w:r>
          </w:p>
        </w:tc>
        <w:tc>
          <w:tcPr>
            <w:tcW w:w="70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Привлечение предприятий, организаций и населения поселения к работам по благоустройству;</w:t>
            </w:r>
          </w:p>
        </w:tc>
        <w:tc>
          <w:tcPr>
            <w:tcW w:w="159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процент</w:t>
            </w:r>
          </w:p>
        </w:tc>
        <w:tc>
          <w:tcPr>
            <w:tcW w:w="8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80</w:t>
            </w:r>
          </w:p>
        </w:tc>
        <w:tc>
          <w:tcPr>
            <w:tcW w:w="8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840" w:hRule="auto"/>
          <w:jc w:val="left"/>
        </w:trPr>
        <w:tc>
          <w:tcPr>
            <w:tcW w:w="7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</w:t>
            </w:r>
          </w:p>
        </w:tc>
        <w:tc>
          <w:tcPr>
            <w:tcW w:w="70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Увеличение доли протяженности освещенных частей улиц и проездов и увеличение количества эксплуатируемых муниципальных светильников</w:t>
            </w:r>
          </w:p>
        </w:tc>
        <w:tc>
          <w:tcPr>
            <w:tcW w:w="159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процент</w:t>
            </w:r>
          </w:p>
        </w:tc>
        <w:tc>
          <w:tcPr>
            <w:tcW w:w="8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</w:t>
            </w:r>
          </w:p>
        </w:tc>
        <w:tc>
          <w:tcPr>
            <w:tcW w:w="8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40</w:t>
            </w:r>
          </w:p>
        </w:tc>
        <w:tc>
          <w:tcPr>
            <w:tcW w:w="8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60</w:t>
            </w:r>
          </w:p>
        </w:tc>
        <w:tc>
          <w:tcPr>
            <w:tcW w:w="8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80</w:t>
            </w:r>
          </w:p>
        </w:tc>
        <w:tc>
          <w:tcPr>
            <w:tcW w:w="8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49" w:hRule="auto"/>
          <w:jc w:val="left"/>
        </w:trPr>
        <w:tc>
          <w:tcPr>
            <w:tcW w:w="7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4.</w:t>
            </w:r>
          </w:p>
        </w:tc>
        <w:tc>
          <w:tcPr>
            <w:tcW w:w="7034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10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Улучшение экологической обстановки; посадка кустарников и деревьев, вырубка сухих деревьев и кустарников</w:t>
            </w:r>
          </w:p>
        </w:tc>
        <w:tc>
          <w:tcPr>
            <w:tcW w:w="159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га</w:t>
            </w:r>
          </w:p>
        </w:tc>
        <w:tc>
          <w:tcPr>
            <w:tcW w:w="8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0,25</w:t>
            </w:r>
          </w:p>
        </w:tc>
        <w:tc>
          <w:tcPr>
            <w:tcW w:w="8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0,25</w:t>
            </w:r>
          </w:p>
        </w:tc>
        <w:tc>
          <w:tcPr>
            <w:tcW w:w="8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0,25</w:t>
            </w:r>
          </w:p>
        </w:tc>
        <w:tc>
          <w:tcPr>
            <w:tcW w:w="8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0,25</w:t>
            </w:r>
          </w:p>
        </w:tc>
        <w:tc>
          <w:tcPr>
            <w:tcW w:w="8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1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10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10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Приложение № 2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Перечень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мероприятий Муниципальной Программы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Благоустройство территории Апраксинского сельского поселения Чамзинского муниципального района на 2019-2025 годы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tbl>
      <w:tblPr>
        <w:tblInd w:w="534" w:type="dxa"/>
      </w:tblPr>
      <w:tblGrid>
        <w:gridCol w:w="728"/>
        <w:gridCol w:w="2960"/>
        <w:gridCol w:w="2589"/>
        <w:gridCol w:w="1455"/>
        <w:gridCol w:w="1171"/>
        <w:gridCol w:w="878"/>
        <w:gridCol w:w="879"/>
        <w:gridCol w:w="878"/>
        <w:gridCol w:w="879"/>
        <w:gridCol w:w="878"/>
        <w:gridCol w:w="879"/>
        <w:gridCol w:w="1028"/>
      </w:tblGrid>
      <w:tr>
        <w:trPr>
          <w:trHeight w:val="314" w:hRule="auto"/>
          <w:jc w:val="left"/>
        </w:trPr>
        <w:tc>
          <w:tcPr>
            <w:tcW w:w="728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№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п/п</w:t>
            </w:r>
          </w:p>
        </w:tc>
        <w:tc>
          <w:tcPr>
            <w:tcW w:w="2960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Мероприятия по реализации программы</w:t>
            </w:r>
          </w:p>
        </w:tc>
        <w:tc>
          <w:tcPr>
            <w:tcW w:w="2589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Источники финансирования</w:t>
            </w:r>
          </w:p>
        </w:tc>
        <w:tc>
          <w:tcPr>
            <w:tcW w:w="1455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Срок исполнения</w:t>
            </w:r>
          </w:p>
        </w:tc>
        <w:tc>
          <w:tcPr>
            <w:tcW w:w="1171" w:type="dxa"/>
            <w:vMerge w:val="restart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Всего (т.руб.)</w:t>
            </w:r>
          </w:p>
        </w:tc>
        <w:tc>
          <w:tcPr>
            <w:tcW w:w="6299" w:type="dxa"/>
            <w:gridSpan w:val="7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Объем финансирования по годам (т.руб.)</w:t>
            </w:r>
          </w:p>
        </w:tc>
      </w:tr>
      <w:tr>
        <w:trPr>
          <w:trHeight w:val="569" w:hRule="auto"/>
          <w:jc w:val="left"/>
        </w:trPr>
        <w:tc>
          <w:tcPr>
            <w:tcW w:w="728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60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89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5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71" w:type="dxa"/>
            <w:vMerge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2019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год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2020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год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2021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год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2022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год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2023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год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2024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год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2025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год</w:t>
            </w:r>
          </w:p>
        </w:tc>
      </w:tr>
      <w:tr>
        <w:trPr>
          <w:trHeight w:val="314" w:hRule="auto"/>
          <w:jc w:val="left"/>
        </w:trPr>
        <w:tc>
          <w:tcPr>
            <w:tcW w:w="7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</w:p>
        </w:tc>
        <w:tc>
          <w:tcPr>
            <w:tcW w:w="29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4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5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6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7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8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9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10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11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center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12</w:t>
            </w:r>
          </w:p>
        </w:tc>
      </w:tr>
      <w:tr>
        <w:trPr>
          <w:trHeight w:val="629" w:hRule="auto"/>
          <w:jc w:val="left"/>
        </w:trPr>
        <w:tc>
          <w:tcPr>
            <w:tcW w:w="7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1.</w:t>
            </w:r>
          </w:p>
        </w:tc>
        <w:tc>
          <w:tcPr>
            <w:tcW w:w="14474" w:type="dxa"/>
            <w:gridSpan w:val="11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</w:tr>
      <w:tr>
        <w:trPr>
          <w:trHeight w:val="898" w:hRule="auto"/>
          <w:jc w:val="left"/>
        </w:trPr>
        <w:tc>
          <w:tcPr>
            <w:tcW w:w="728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1.1.</w:t>
            </w:r>
          </w:p>
        </w:tc>
        <w:tc>
          <w:tcPr>
            <w:tcW w:w="296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Содержание и ремонт уличного освещения 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1455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2019-2025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174,4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214,61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173,2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181,9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188,7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171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206,4</w:t>
            </w:r>
          </w:p>
        </w:tc>
      </w:tr>
      <w:tr>
        <w:trPr>
          <w:trHeight w:val="314" w:hRule="auto"/>
          <w:jc w:val="left"/>
        </w:trPr>
        <w:tc>
          <w:tcPr>
            <w:tcW w:w="728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6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1455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898" w:hRule="auto"/>
          <w:jc w:val="left"/>
        </w:trPr>
        <w:tc>
          <w:tcPr>
            <w:tcW w:w="728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1.2.</w:t>
            </w:r>
          </w:p>
        </w:tc>
        <w:tc>
          <w:tcPr>
            <w:tcW w:w="296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Оплата за электроэнергию уличного освещения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1455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2019-2025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4" w:hRule="auto"/>
          <w:jc w:val="left"/>
        </w:trPr>
        <w:tc>
          <w:tcPr>
            <w:tcW w:w="728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6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1455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314" w:hRule="auto"/>
          <w:jc w:val="left"/>
        </w:trPr>
        <w:tc>
          <w:tcPr>
            <w:tcW w:w="7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4474" w:type="dxa"/>
            <w:gridSpan w:val="11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Итого по мероприятию 1</w:t>
            </w:r>
          </w:p>
        </w:tc>
      </w:tr>
      <w:tr>
        <w:trPr>
          <w:trHeight w:val="898" w:hRule="auto"/>
          <w:jc w:val="left"/>
        </w:trPr>
        <w:tc>
          <w:tcPr>
            <w:tcW w:w="7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29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174,4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214,61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73,2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181,9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188,7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71,00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206,4</w:t>
            </w:r>
          </w:p>
        </w:tc>
      </w:tr>
      <w:tr>
        <w:trPr>
          <w:trHeight w:val="314" w:hRule="auto"/>
          <w:jc w:val="left"/>
        </w:trPr>
        <w:tc>
          <w:tcPr>
            <w:tcW w:w="7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29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314" w:hRule="auto"/>
          <w:jc w:val="left"/>
        </w:trPr>
        <w:tc>
          <w:tcPr>
            <w:tcW w:w="7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29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ВСЕГО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FFFF00" w:val="clear"/>
              </w:rPr>
              <w:t xml:space="preserve">1310,21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174,4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14,61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73,2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89,9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88,7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171,00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206,4</w:t>
            </w:r>
          </w:p>
        </w:tc>
      </w:tr>
      <w:tr>
        <w:trPr>
          <w:trHeight w:val="479" w:hRule="auto"/>
          <w:jc w:val="left"/>
        </w:trPr>
        <w:tc>
          <w:tcPr>
            <w:tcW w:w="7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2.</w:t>
            </w:r>
          </w:p>
        </w:tc>
        <w:tc>
          <w:tcPr>
            <w:tcW w:w="14474" w:type="dxa"/>
            <w:gridSpan w:val="11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Основное мероприятие "Благоустройство и озеленение территории сельского поселения"</w:t>
            </w:r>
          </w:p>
        </w:tc>
      </w:tr>
      <w:tr>
        <w:trPr>
          <w:trHeight w:val="821" w:hRule="auto"/>
          <w:jc w:val="left"/>
        </w:trPr>
        <w:tc>
          <w:tcPr>
            <w:tcW w:w="728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2.1.</w:t>
            </w:r>
          </w:p>
        </w:tc>
        <w:tc>
          <w:tcPr>
            <w:tcW w:w="296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Вырубка и обрезка сухих веток, деревьев и кустарников 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2019-2025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314" w:hRule="auto"/>
          <w:jc w:val="left"/>
        </w:trPr>
        <w:tc>
          <w:tcPr>
            <w:tcW w:w="728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6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824" w:hRule="auto"/>
          <w:jc w:val="left"/>
        </w:trPr>
        <w:tc>
          <w:tcPr>
            <w:tcW w:w="728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2.2.</w:t>
            </w:r>
          </w:p>
        </w:tc>
        <w:tc>
          <w:tcPr>
            <w:tcW w:w="296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Удаление поросли, подкормка удобрением деревьев и кустарников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2019-2025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314" w:hRule="auto"/>
          <w:jc w:val="left"/>
        </w:trPr>
        <w:tc>
          <w:tcPr>
            <w:tcW w:w="728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6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768" w:hRule="auto"/>
          <w:jc w:val="left"/>
        </w:trPr>
        <w:tc>
          <w:tcPr>
            <w:tcW w:w="728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2.3.</w:t>
            </w:r>
          </w:p>
        </w:tc>
        <w:tc>
          <w:tcPr>
            <w:tcW w:w="296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Посадка саженцев деревьев и кустарников, цветочной рассады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2019-2025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314" w:hRule="auto"/>
          <w:jc w:val="left"/>
        </w:trPr>
        <w:tc>
          <w:tcPr>
            <w:tcW w:w="728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6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657" w:hRule="auto"/>
          <w:jc w:val="left"/>
        </w:trPr>
        <w:tc>
          <w:tcPr>
            <w:tcW w:w="728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2.4.</w:t>
            </w:r>
          </w:p>
        </w:tc>
        <w:tc>
          <w:tcPr>
            <w:tcW w:w="296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Посев газона, летнее содержание газонов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2019-2025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314" w:hRule="auto"/>
          <w:jc w:val="left"/>
        </w:trPr>
        <w:tc>
          <w:tcPr>
            <w:tcW w:w="728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6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314" w:hRule="auto"/>
          <w:jc w:val="left"/>
        </w:trPr>
        <w:tc>
          <w:tcPr>
            <w:tcW w:w="7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4474" w:type="dxa"/>
            <w:gridSpan w:val="11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</w:tr>
      <w:tr>
        <w:trPr>
          <w:trHeight w:val="838" w:hRule="auto"/>
          <w:jc w:val="left"/>
        </w:trPr>
        <w:tc>
          <w:tcPr>
            <w:tcW w:w="7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29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314" w:hRule="auto"/>
          <w:jc w:val="left"/>
        </w:trPr>
        <w:tc>
          <w:tcPr>
            <w:tcW w:w="7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29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314" w:hRule="auto"/>
          <w:jc w:val="left"/>
        </w:trPr>
        <w:tc>
          <w:tcPr>
            <w:tcW w:w="7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29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ВСЕГО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314" w:hRule="auto"/>
          <w:jc w:val="left"/>
        </w:trPr>
        <w:tc>
          <w:tcPr>
            <w:tcW w:w="7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3.</w:t>
            </w:r>
          </w:p>
        </w:tc>
        <w:tc>
          <w:tcPr>
            <w:tcW w:w="14474" w:type="dxa"/>
            <w:gridSpan w:val="11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Основное мероприятие "Благоустройство и содержание мест захоронения"</w:t>
            </w:r>
          </w:p>
        </w:tc>
      </w:tr>
      <w:tr>
        <w:trPr>
          <w:trHeight w:val="721" w:hRule="auto"/>
          <w:jc w:val="left"/>
        </w:trPr>
        <w:tc>
          <w:tcPr>
            <w:tcW w:w="728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3.1.</w:t>
            </w:r>
          </w:p>
        </w:tc>
        <w:tc>
          <w:tcPr>
            <w:tcW w:w="296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Вывоз мусора с территории кладбищ сельского поселения: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2019-2025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328,24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3,94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54,2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270,1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</w:tr>
      <w:tr>
        <w:trPr>
          <w:trHeight w:val="314" w:hRule="auto"/>
          <w:jc w:val="left"/>
        </w:trPr>
        <w:tc>
          <w:tcPr>
            <w:tcW w:w="728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6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035" w:hRule="auto"/>
          <w:jc w:val="left"/>
        </w:trPr>
        <w:tc>
          <w:tcPr>
            <w:tcW w:w="728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3.2.</w:t>
            </w:r>
          </w:p>
        </w:tc>
        <w:tc>
          <w:tcPr>
            <w:tcW w:w="296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Обрезка сухих веток деревьев и кустарников, валка аварийных деревьев на территориях кладбищ сельского поселения: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сельского поселения: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2019-2025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314" w:hRule="auto"/>
          <w:jc w:val="left"/>
        </w:trPr>
        <w:tc>
          <w:tcPr>
            <w:tcW w:w="728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6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314" w:hRule="auto"/>
          <w:jc w:val="left"/>
        </w:trPr>
        <w:tc>
          <w:tcPr>
            <w:tcW w:w="7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4474" w:type="dxa"/>
            <w:gridSpan w:val="11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Итого по мероприятию 3</w:t>
            </w:r>
          </w:p>
        </w:tc>
      </w:tr>
      <w:tr>
        <w:trPr>
          <w:trHeight w:val="763" w:hRule="auto"/>
          <w:jc w:val="left"/>
        </w:trPr>
        <w:tc>
          <w:tcPr>
            <w:tcW w:w="7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29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328,4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54,2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270,1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</w:tr>
      <w:tr>
        <w:trPr>
          <w:trHeight w:val="314" w:hRule="auto"/>
          <w:jc w:val="left"/>
        </w:trPr>
        <w:tc>
          <w:tcPr>
            <w:tcW w:w="7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29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314" w:hRule="auto"/>
          <w:jc w:val="left"/>
        </w:trPr>
        <w:tc>
          <w:tcPr>
            <w:tcW w:w="7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29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ВСЕГО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00" w:val="clear"/>
              </w:rPr>
              <w:t xml:space="preserve">328,4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3,94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54,2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270,1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</w:tr>
      <w:tr>
        <w:trPr>
          <w:trHeight w:val="434" w:hRule="auto"/>
          <w:jc w:val="left"/>
        </w:trPr>
        <w:tc>
          <w:tcPr>
            <w:tcW w:w="7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4.</w:t>
            </w:r>
          </w:p>
        </w:tc>
        <w:tc>
          <w:tcPr>
            <w:tcW w:w="14474" w:type="dxa"/>
            <w:gridSpan w:val="11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Основное мероприятие "Прочие мероприятия по благоустройству территории сельского поселения"</w:t>
            </w:r>
          </w:p>
        </w:tc>
      </w:tr>
      <w:tr>
        <w:trPr>
          <w:trHeight w:val="860" w:hRule="auto"/>
          <w:jc w:val="left"/>
        </w:trPr>
        <w:tc>
          <w:tcPr>
            <w:tcW w:w="728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4.1.</w:t>
            </w:r>
          </w:p>
        </w:tc>
        <w:tc>
          <w:tcPr>
            <w:tcW w:w="296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Содержание и уборка территории поселения (в т.ч. общественных мест, мест массового отдыха)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2019-2025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FFFF00" w:val="clear"/>
              </w:rPr>
              <w:t xml:space="preserve">1149,9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210,10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141,2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83,4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81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179,0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211,4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243,8</w:t>
            </w:r>
          </w:p>
        </w:tc>
      </w:tr>
      <w:tr>
        <w:trPr>
          <w:trHeight w:val="314" w:hRule="auto"/>
          <w:jc w:val="left"/>
        </w:trPr>
        <w:tc>
          <w:tcPr>
            <w:tcW w:w="728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6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006" w:hRule="auto"/>
          <w:jc w:val="left"/>
        </w:trPr>
        <w:tc>
          <w:tcPr>
            <w:tcW w:w="728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4.2.</w:t>
            </w:r>
          </w:p>
        </w:tc>
        <w:tc>
          <w:tcPr>
            <w:tcW w:w="296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Приобретение и установка урн и скамеек в общественных местах, местах массового отдыха населения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2019-2025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434" w:hRule="auto"/>
          <w:jc w:val="left"/>
        </w:trPr>
        <w:tc>
          <w:tcPr>
            <w:tcW w:w="728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6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122" w:hRule="auto"/>
          <w:jc w:val="left"/>
        </w:trPr>
        <w:tc>
          <w:tcPr>
            <w:tcW w:w="728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4.3.</w:t>
            </w:r>
          </w:p>
        </w:tc>
        <w:tc>
          <w:tcPr>
            <w:tcW w:w="296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Текущее содержание территории общего пользования в населенных пунктах (зимнее/летнее время: уборка снега, мусора, листвы; подметание; уборка урн)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2019-2025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494" w:hRule="auto"/>
          <w:jc w:val="left"/>
        </w:trPr>
        <w:tc>
          <w:tcPr>
            <w:tcW w:w="728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6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1078" w:hRule="auto"/>
          <w:jc w:val="left"/>
        </w:trPr>
        <w:tc>
          <w:tcPr>
            <w:tcW w:w="728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4.4.</w:t>
            </w:r>
          </w:p>
        </w:tc>
        <w:tc>
          <w:tcPr>
            <w:tcW w:w="296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2019-2025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314" w:hRule="auto"/>
          <w:jc w:val="left"/>
        </w:trPr>
        <w:tc>
          <w:tcPr>
            <w:tcW w:w="728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6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831" w:hRule="auto"/>
          <w:jc w:val="left"/>
        </w:trPr>
        <w:tc>
          <w:tcPr>
            <w:tcW w:w="728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4.5.</w:t>
            </w:r>
          </w:p>
        </w:tc>
        <w:tc>
          <w:tcPr>
            <w:tcW w:w="296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Организация и проведение субботника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сельского поселения: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2019-2025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314" w:hRule="auto"/>
          <w:jc w:val="left"/>
        </w:trPr>
        <w:tc>
          <w:tcPr>
            <w:tcW w:w="728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6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898" w:hRule="auto"/>
          <w:jc w:val="left"/>
        </w:trPr>
        <w:tc>
          <w:tcPr>
            <w:tcW w:w="728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4.6.</w:t>
            </w:r>
          </w:p>
        </w:tc>
        <w:tc>
          <w:tcPr>
            <w:tcW w:w="296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2019-2025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314" w:hRule="auto"/>
          <w:jc w:val="left"/>
        </w:trPr>
        <w:tc>
          <w:tcPr>
            <w:tcW w:w="728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6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458" w:hRule="auto"/>
          <w:jc w:val="left"/>
        </w:trPr>
        <w:tc>
          <w:tcPr>
            <w:tcW w:w="7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4474" w:type="dxa"/>
            <w:gridSpan w:val="11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Итого по мероприятию 4</w:t>
            </w:r>
          </w:p>
        </w:tc>
      </w:tr>
      <w:tr>
        <w:trPr>
          <w:trHeight w:val="787" w:hRule="auto"/>
          <w:jc w:val="left"/>
        </w:trPr>
        <w:tc>
          <w:tcPr>
            <w:tcW w:w="7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29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1149,9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210,10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141,2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83,4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81,0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179,0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211,4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243,8</w:t>
            </w:r>
          </w:p>
        </w:tc>
      </w:tr>
      <w:tr>
        <w:trPr>
          <w:trHeight w:val="314" w:hRule="auto"/>
          <w:jc w:val="left"/>
        </w:trPr>
        <w:tc>
          <w:tcPr>
            <w:tcW w:w="7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29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314" w:hRule="auto"/>
          <w:jc w:val="left"/>
        </w:trPr>
        <w:tc>
          <w:tcPr>
            <w:tcW w:w="7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29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ВСЕГО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1149,9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  <w:t xml:space="preserve">210,10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141,2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83,4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81,0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179,0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211,4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243,8</w:t>
            </w:r>
          </w:p>
        </w:tc>
      </w:tr>
      <w:tr>
        <w:trPr>
          <w:trHeight w:val="314" w:hRule="auto"/>
          <w:jc w:val="left"/>
        </w:trPr>
        <w:tc>
          <w:tcPr>
            <w:tcW w:w="7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5.</w:t>
            </w:r>
          </w:p>
        </w:tc>
        <w:tc>
          <w:tcPr>
            <w:tcW w:w="14474" w:type="dxa"/>
            <w:gridSpan w:val="11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Основное мероприятие "Ремонт памятников воинам ВОВ"</w:t>
            </w:r>
          </w:p>
        </w:tc>
      </w:tr>
      <w:tr>
        <w:trPr>
          <w:trHeight w:val="713" w:hRule="auto"/>
          <w:jc w:val="left"/>
        </w:trPr>
        <w:tc>
          <w:tcPr>
            <w:tcW w:w="728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5.1.</w:t>
            </w:r>
          </w:p>
        </w:tc>
        <w:tc>
          <w:tcPr>
            <w:tcW w:w="2960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Содержание, ремонт памятников и обустройство территории поселения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2019-2025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170,0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20,0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30,0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30,0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30,0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30,0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30,0</w:t>
            </w:r>
          </w:p>
        </w:tc>
      </w:tr>
      <w:tr>
        <w:trPr>
          <w:trHeight w:val="314" w:hRule="auto"/>
          <w:jc w:val="left"/>
        </w:trPr>
        <w:tc>
          <w:tcPr>
            <w:tcW w:w="728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6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1455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8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8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76" w:hRule="auto"/>
          <w:jc w:val="left"/>
        </w:trPr>
        <w:tc>
          <w:tcPr>
            <w:tcW w:w="728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60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республиканского бюджета</w:t>
            </w:r>
          </w:p>
        </w:tc>
        <w:tc>
          <w:tcPr>
            <w:tcW w:w="1455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71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8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9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8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9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8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9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8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4" w:hRule="auto"/>
          <w:jc w:val="left"/>
        </w:trPr>
        <w:tc>
          <w:tcPr>
            <w:tcW w:w="7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4474" w:type="dxa"/>
            <w:gridSpan w:val="11"/>
            <w:tcBorders>
              <w:top w:val="single" w:color="000000" w:sz="4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Итого по мероприятию 5</w:t>
            </w:r>
          </w:p>
        </w:tc>
      </w:tr>
      <w:tr>
        <w:trPr>
          <w:trHeight w:val="708" w:hRule="auto"/>
          <w:jc w:val="left"/>
        </w:trPr>
        <w:tc>
          <w:tcPr>
            <w:tcW w:w="7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29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170,0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20,0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30,0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30,0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30,0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30,0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30,0</w:t>
            </w:r>
          </w:p>
        </w:tc>
      </w:tr>
      <w:tr>
        <w:trPr>
          <w:trHeight w:val="314" w:hRule="auto"/>
          <w:jc w:val="left"/>
        </w:trPr>
        <w:tc>
          <w:tcPr>
            <w:tcW w:w="7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29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-</w:t>
            </w:r>
          </w:p>
        </w:tc>
      </w:tr>
      <w:tr>
        <w:trPr>
          <w:trHeight w:val="314" w:hRule="auto"/>
          <w:jc w:val="left"/>
        </w:trPr>
        <w:tc>
          <w:tcPr>
            <w:tcW w:w="7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29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ВСЕГО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170,0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20,0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30,0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30,0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30,0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30,0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30,0</w:t>
            </w:r>
          </w:p>
        </w:tc>
      </w:tr>
      <w:tr>
        <w:trPr>
          <w:trHeight w:val="569" w:hRule="auto"/>
          <w:jc w:val="left"/>
        </w:trPr>
        <w:tc>
          <w:tcPr>
            <w:tcW w:w="7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29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ВСЕГО ПО МЕРОПРИЯТИЯМ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2958,3463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384,5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379,7463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340,8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563,0</w:t>
            </w: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397,7</w:t>
            </w: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412,4</w:t>
            </w: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489,2</w:t>
            </w:r>
          </w:p>
        </w:tc>
      </w:tr>
      <w:tr>
        <w:trPr>
          <w:trHeight w:val="738" w:hRule="auto"/>
          <w:jc w:val="left"/>
        </w:trPr>
        <w:tc>
          <w:tcPr>
            <w:tcW w:w="728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29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бюджета 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Апраксинского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 сельского поселения:</w:t>
            </w:r>
          </w:p>
        </w:tc>
        <w:tc>
          <w:tcPr>
            <w:tcW w:w="258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455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9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8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314" w:hRule="auto"/>
          <w:jc w:val="left"/>
        </w:trPr>
        <w:tc>
          <w:tcPr>
            <w:tcW w:w="728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29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Другие источники:</w:t>
            </w:r>
          </w:p>
        </w:tc>
        <w:tc>
          <w:tcPr>
            <w:tcW w:w="2589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455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 </w:t>
            </w:r>
          </w:p>
        </w:tc>
        <w:tc>
          <w:tcPr>
            <w:tcW w:w="1171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8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9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8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9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8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9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8" w:type="dxa"/>
            <w:vMerge w:val="restart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00" w:hRule="auto"/>
          <w:jc w:val="left"/>
        </w:trPr>
        <w:tc>
          <w:tcPr>
            <w:tcW w:w="728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960" w:type="dxa"/>
            <w:tcBorders>
              <w:top w:val="single" w:color="000000" w:sz="0"/>
              <w:left w:val="single" w:color="000000" w:sz="0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both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2"/>
                <w:shd w:fill="auto" w:val="clear"/>
              </w:rPr>
              <w:t xml:space="preserve">средства республиканского бюджета</w:t>
            </w:r>
          </w:p>
        </w:tc>
        <w:tc>
          <w:tcPr>
            <w:tcW w:w="2589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5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171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8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9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8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9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8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79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28" w:type="dxa"/>
            <w:vMerge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center"/>
          </w:tcPr>
          <w:p>
            <w:pPr>
              <w:suppressAutoHyphens w:val="true"/>
              <w:spacing w:before="0" w:after="0" w:line="240"/>
              <w:ind w:right="-284" w:left="0" w:firstLine="0"/>
              <w:jc w:val="center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widowControl w:val="false"/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br/>
      </w:r>
    </w:p>
    <w:p>
      <w:pPr>
        <w:widowControl w:val="false"/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widowControl w:val="false"/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widowControl w:val="false"/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widowControl w:val="false"/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