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C88" w:rsidRPr="009F6C88" w:rsidRDefault="009F6C88" w:rsidP="009F6C88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F6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АДМИНИСТРАЦИЯ  МИЧУРИНСКОГО  СЕЛЬСКОГО  ПОСЕЛЕНИЯ</w:t>
      </w:r>
    </w:p>
    <w:p w:rsidR="009F6C88" w:rsidRPr="009F6C88" w:rsidRDefault="009F6C88" w:rsidP="009F6C88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F6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ЧАМЗИНСКОГО  МУНИЦИПАЛЬНОГО РАЙОНА</w:t>
      </w:r>
    </w:p>
    <w:p w:rsidR="009F6C88" w:rsidRPr="009F6C88" w:rsidRDefault="009F6C88" w:rsidP="009F6C88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F6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РЕСПУБЛИКИ  МОРДОВИЯ</w:t>
      </w:r>
    </w:p>
    <w:p w:rsidR="009F6C88" w:rsidRPr="009F6C88" w:rsidRDefault="009F6C88" w:rsidP="009F6C88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F6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F6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F6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ПОСТАНОВЛЕНИЕ</w:t>
      </w:r>
    </w:p>
    <w:p w:rsidR="009F6C88" w:rsidRPr="009F6C88" w:rsidRDefault="009F6C88" w:rsidP="009F6C88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F6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F6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21.12.2015г. № 81</w:t>
      </w:r>
    </w:p>
    <w:p w:rsidR="009F6C88" w:rsidRPr="009F6C88" w:rsidRDefault="009F6C88" w:rsidP="009F6C88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F6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F6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с. Мичурино</w:t>
      </w:r>
    </w:p>
    <w:p w:rsidR="009F6C88" w:rsidRPr="009F6C88" w:rsidRDefault="009F6C88" w:rsidP="009F6C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F6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ОБ УТВЕРЖДЕНИИ МУНИЦИПАЛЬНОЙ ПРОГРАММЫ «ЭНЕРГОСБЕРЕЖЕНИЕ И ПОВЫШЕНИЕ ЭНЕРГЕТИЧЕСКОЙ ЭФФЕКТИВНОСТИ В МИЧУРИНСКОМ СЕЛЬСКОМ ПОСЕЛЕНИИ ЧАМЗИНСКОГО МУНИЦИПАЛЬНОГО РАЙОНА РЕСПУБЛИКИ МОРДОВИЯ» НА 2016 – 2021 ГОДЫ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(наименование изменено постановлением Администрации от </w:t>
      </w:r>
      <w:hyperlink r:id="rId6" w:history="1">
        <w:r w:rsidRPr="009F6C88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15.11.2018 №65</w:t>
        </w:r>
      </w:hyperlink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)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(в ред. постановления Администрации от </w:t>
      </w:r>
      <w:hyperlink r:id="rId7" w:history="1">
        <w:r w:rsidRPr="009F6C88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15.11.2018 №65</w:t>
        </w:r>
      </w:hyperlink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)</w:t>
      </w:r>
    </w:p>
    <w:p w:rsidR="009F6C88" w:rsidRPr="009F6C88" w:rsidRDefault="009F6C88" w:rsidP="009F6C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C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Администрация Мичуринского сельского поселения ПОСТАНОВЛЯЕТ: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27D4F" w:rsidRDefault="009F6C88" w:rsidP="00E27D4F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240" w:after="100" w:afterAutospacing="1" w:line="240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Утвердить прилагаемую муниципальную программу «Энергосбережение и повышение энергетической эффективности в Мичуринском сельском поселении Чамзинского муниципального района</w:t>
      </w:r>
      <w:r w:rsidR="00E27D4F">
        <w:rPr>
          <w:rFonts w:ascii="Arial" w:eastAsia="Times New Roman" w:hAnsi="Arial" w:cs="Arial"/>
          <w:sz w:val="24"/>
          <w:szCs w:val="24"/>
          <w:lang w:eastAsia="ru-RU"/>
        </w:rPr>
        <w:t xml:space="preserve"> Республики Мордовия» на 2016-</w:t>
      </w:r>
      <w:r w:rsidRPr="009F6C88">
        <w:rPr>
          <w:rFonts w:ascii="Arial" w:eastAsia="Times New Roman" w:hAnsi="Arial" w:cs="Arial"/>
          <w:sz w:val="24"/>
          <w:szCs w:val="24"/>
          <w:lang w:eastAsia="ru-RU"/>
        </w:rPr>
        <w:t>2021 годы.                                                                                        </w:t>
      </w:r>
    </w:p>
    <w:p w:rsidR="009F6C88" w:rsidRPr="009F6C88" w:rsidRDefault="009F6C88" w:rsidP="00E27D4F">
      <w:pPr>
        <w:shd w:val="clear" w:color="auto" w:fill="FFFFFF"/>
        <w:spacing w:before="240" w:after="100" w:afterAutospacing="1" w:line="240" w:lineRule="atLeast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(пункт 1 изложен в ред. постановления Администрации от </w:t>
      </w:r>
      <w:hyperlink r:id="rId8" w:history="1">
        <w:r w:rsidRPr="009F6C88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15.11.2018 №65</w:t>
        </w:r>
      </w:hyperlink>
      <w:r w:rsidRPr="009F6C88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9F6C88" w:rsidRPr="009F6C88" w:rsidRDefault="009F6C88" w:rsidP="009F6C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Контроль за</w:t>
      </w:r>
      <w:proofErr w:type="gram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выполнением настоящего постановления оставляю  за собой.</w:t>
      </w:r>
    </w:p>
    <w:p w:rsidR="009F6C88" w:rsidRPr="009F6C88" w:rsidRDefault="009F6C88" w:rsidP="009F6C88">
      <w:pPr>
        <w:numPr>
          <w:ilvl w:val="0"/>
          <w:numId w:val="1"/>
        </w:numPr>
        <w:shd w:val="clear" w:color="auto" w:fill="FFFFFF"/>
        <w:spacing w:before="100" w:beforeAutospacing="1" w:after="240" w:line="240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Настоящее постановление вступает в силу со дня его подписания.</w:t>
      </w:r>
    </w:p>
    <w:p w:rsidR="009F6C88" w:rsidRPr="009F6C88" w:rsidRDefault="009F6C88" w:rsidP="009F6C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Глава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Мичуринского сельского поселения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А.А.Трофимов</w:t>
      </w:r>
      <w:proofErr w:type="spellEnd"/>
    </w:p>
    <w:p w:rsidR="009F6C88" w:rsidRPr="009F6C88" w:rsidRDefault="009F6C88" w:rsidP="009F6C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C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F6C88" w:rsidRPr="009F6C88" w:rsidRDefault="009F6C88" w:rsidP="009F6C88">
      <w:pPr>
        <w:spacing w:after="0" w:line="240" w:lineRule="auto"/>
        <w:ind w:left="540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C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F6C88" w:rsidRPr="009F6C88" w:rsidRDefault="009F6C88" w:rsidP="009F6C88">
      <w:pPr>
        <w:spacing w:after="0" w:line="240" w:lineRule="auto"/>
        <w:ind w:left="540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C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F6C88" w:rsidRPr="009F6C88" w:rsidRDefault="009F6C88" w:rsidP="009F6C88">
      <w:pPr>
        <w:spacing w:after="0" w:line="240" w:lineRule="auto"/>
        <w:ind w:left="540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C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F6C88" w:rsidRPr="009F6C88" w:rsidRDefault="009F6C88" w:rsidP="009F6C88">
      <w:pPr>
        <w:spacing w:after="0" w:line="240" w:lineRule="auto"/>
        <w:ind w:left="540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C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F6C88" w:rsidRPr="009F6C88" w:rsidRDefault="009F6C88" w:rsidP="009F6C88">
      <w:pPr>
        <w:spacing w:after="0" w:line="240" w:lineRule="auto"/>
        <w:ind w:left="540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C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Утверждена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постановлением администрации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Мичуринского сельского поселения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Чамзинского муниципального района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от 21.12. 2015 г. № 81</w:t>
      </w:r>
    </w:p>
    <w:p w:rsidR="009F6C88" w:rsidRPr="009F6C88" w:rsidRDefault="009F6C88" w:rsidP="009F6C8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МУНИЦИПАЛЬННАЯ программа</w:t>
      </w:r>
      <w:r w:rsidRPr="009F6C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«ЭНЕРГОСБЕРЕЖЕНИЕ И ПОВЫШЕНИЕ ЭНЕРГЕТИЧЕСКОЙ ЭФФЕКТИВНОСТИ В МИЧУРИНСКОМ СЕЛЬСКОМ ПОСЕЛЕНИИ ЧАМЗИНСКОГО МУНИЦИПАЛЬНОГО Р</w:t>
      </w:r>
      <w:bookmarkStart w:id="0" w:name="_GoBack"/>
      <w:bookmarkEnd w:id="0"/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АЙОНА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РЕСПУБЛИК</w:t>
      </w:r>
      <w:r w:rsidR="00860574"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И</w:t>
      </w: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МОРДОВИЯ»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НА 2016 – 2021 ГОДЫ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(наименование изменено постановлением Администрации от </w:t>
      </w:r>
      <w:hyperlink r:id="rId9" w:history="1">
        <w:r w:rsidRPr="009F6C88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15.11.2018 №65</w:t>
        </w:r>
      </w:hyperlink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)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(в ред. постановления Администрации от </w:t>
      </w:r>
      <w:hyperlink r:id="rId10" w:history="1">
        <w:r w:rsidRPr="009F6C88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15.11.2018 №65</w:t>
        </w:r>
      </w:hyperlink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)</w:t>
      </w:r>
    </w:p>
    <w:p w:rsidR="009F6C88" w:rsidRPr="009F6C88" w:rsidRDefault="009F6C88" w:rsidP="009F6C8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C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ПАСПОРТ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муниципальной программы Мичуринского сельского поселения Чамзинского муниципального района Республики Мордовия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«Энергосбережение и повышение энергетической эффективности в Мичуринском сельском поселении </w:t>
      </w: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lastRenderedPageBreak/>
        <w:t>Чамзинского муниципального района Республики Мордовия» на 2016 – 2021 годы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(далее – муниципальная программа)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(наименование изменено постановлением Администрации от </w:t>
      </w:r>
      <w:hyperlink r:id="rId11" w:history="1">
        <w:r w:rsidRPr="009F6C88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15.11.2018 №65</w:t>
        </w:r>
      </w:hyperlink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)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6"/>
        <w:gridCol w:w="6399"/>
      </w:tblGrid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Ответственный исполнитель муниципальной программы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Мичуринского сельского поселения Чамзинского муниципального района Республики Мордовия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Цель муниципальной программы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снижение потребления топливно-энергетических ресурсов на единицу муниципального продукта путем их наиболее полного и рационального использования во всех секторах экономики Мичуринского сельского поселения Чамзинского муниципального района Республики Мордовия за счет внедрения комплекса энергосберегающих мероприятий и проектов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Целевые показатели (индикаторы) эффективности реализации муниципальной программы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Удельная величина потребления энергетических ресурсов в жилищном секторе: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электрическая энергия (</w:t>
            </w:r>
            <w:proofErr w:type="spell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кВт</w:t>
            </w:r>
            <w:proofErr w:type="gram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.ч</w:t>
            </w:r>
            <w:proofErr w:type="spellEnd"/>
            <w:proofErr w:type="gram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на 1 проживающего) 560,  на последующие годы планируется  понижение - довести в 2020 г.-до 511;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холодная вода (</w:t>
            </w:r>
            <w:proofErr w:type="spell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куб</w:t>
            </w:r>
            <w:proofErr w:type="gram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на 1 проживающего) 25. На последующие годы планируется  понижение - в 2020г. довести до -22,3;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природный газ (</w:t>
            </w:r>
            <w:proofErr w:type="spell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куб</w:t>
            </w:r>
            <w:proofErr w:type="gram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на 1 проживающего) 268. На последующие годы планируется дальнейшее понижение в 2020г.-241.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Удельная величина потребления энергетических ресурсов муниципальными бюджетными учреждениями имеет убывающую динамику;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электрическая энергия (</w:t>
            </w:r>
            <w:proofErr w:type="spell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кВт</w:t>
            </w:r>
            <w:proofErr w:type="gram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.ч</w:t>
            </w:r>
            <w:proofErr w:type="spellEnd"/>
            <w:proofErr w:type="gram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на 1 человека населения) 33,8. На последующие годы планируется дальнейшее понижение - в 2020.- до 30,2;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холодная вода (</w:t>
            </w:r>
            <w:proofErr w:type="spell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куб</w:t>
            </w:r>
            <w:proofErr w:type="gram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на 1человека населения) 1,15. На последующие годы планируется понижение: в 2020 .г — 1,01;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природный газ (</w:t>
            </w:r>
            <w:proofErr w:type="spell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куб</w:t>
            </w:r>
            <w:proofErr w:type="gram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на 1 человека населения) 25. На последующие годы планируется дальнейшее понижение: к 2020 г. до 23,1;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Задачи муниципальной программы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выявление потенциала энергосбережения на основании обязательных энергетических обследований;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 устойчивых темпов снижения энергопотребления в сельском хозяйстве, жилищном секторе и в бюджетных учреждениях;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сохранение и расширение потенциала доходной части бюджета за счет сокращения нерационального </w:t>
            </w: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потребления энергии;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Этапы и сроки реализации муниципальной программы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реализуется в два этапа: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I этап – 2016 - 2018 годы,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II этап – 2019- 2021 годы; 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</w:t>
            </w:r>
            <w:proofErr w:type="gram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изложена</w:t>
            </w:r>
            <w:proofErr w:type="gram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 ред. постановления Администрации от </w:t>
            </w:r>
            <w:hyperlink r:id="rId12" w:history="1">
              <w:r w:rsidRPr="009F6C88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15.11.2018 №65</w:t>
              </w:r>
            </w:hyperlink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Объемы финансирования муниципальной программы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    общий объем финансирования на реализацию муниципальной программы составляет ___ тыс. рублей, в том числе по годам: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2016 год – ___ тыс. рублей,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2017 год – ___ тыс. рублей,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2018 год – ___тыс. рублей,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2019 год – ___ тыс. рублей,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2020 год – ___ тыс. рублей,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том числе: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местного бюджета – ___ тыс. рублей, в том числе по годам: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2016 год – ___ тыс. рублей,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2017 год – ___ тыс. рублей,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2018 год – ___ тыс. рублей,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2019 год – ___ тыс. рублей,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2020 год – ___ тыс. рублей.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внебюджетные средства – ___ тыс. рублей, в том числе по годам: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2016 год – ___ тыс. рублей,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2017 год – ___ тыс. рублей,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2018 год – ___ тыс. рублей,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2019 год – ___ тыс. рублей,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2020 год – ___ тыс. рублей.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Ожидаемые результаты реализации муниципальной программы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обеспечение достижения  за счет реализации мероприятий и проектов муниципальной программы по повышению </w:t>
            </w:r>
            <w:proofErr w:type="spell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энергоэффективности</w:t>
            </w:r>
            <w:proofErr w:type="spell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: 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снижения энергоемкости муниципального продукта  не менее чем на 12 % на I этапе (2016 - 2018 годы), не менее чем на 15 % на II этапе (2019 -  2021 годы) (по сравнению с 2015 годом);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снижения энергоемкости сельского хозяйства на 9 % на I этапе (2016 - 2018 годы), не менее чем на 15 % на II этапе (2019 -  2021 годы) (по сравнению с 2015 годом)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</w:t>
            </w:r>
            <w:proofErr w:type="gram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изложена</w:t>
            </w:r>
            <w:proofErr w:type="gram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 ред. постановления Администрации от </w:t>
            </w:r>
            <w:hyperlink r:id="rId13" w:history="1">
              <w:r w:rsidRPr="009F6C88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15.11.2018 №65</w:t>
              </w:r>
            </w:hyperlink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</w:tc>
      </w:tr>
    </w:tbl>
    <w:p w:rsidR="009F6C88" w:rsidRPr="009F6C88" w:rsidRDefault="009F6C88" w:rsidP="009F6C88">
      <w:pPr>
        <w:spacing w:before="108" w:after="108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100"/>
      <w:r w:rsidRPr="009F6C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bookmarkEnd w:id="1"/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lastRenderedPageBreak/>
        <w:t>Раздел 1. Общая характеристика сферы реализации муниципальной программы, основные проблемы в указанной сфере и прогноз ее развития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Муниципальная программа разработана в соответствии с требованиями Федерального закона от 23 ноября 2009 г. № 261 – ФЗ «</w:t>
      </w:r>
      <w:hyperlink r:id="rId14" w:history="1">
        <w:r w:rsidRPr="009F6C88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Об энергосбережении и о повышении энергетической эффективности и о внесении изменений в отдельные законодательные акты Российской Федерации</w:t>
        </w:r>
      </w:hyperlink>
      <w:r w:rsidRPr="009F6C88">
        <w:rPr>
          <w:rFonts w:ascii="Arial" w:eastAsia="Times New Roman" w:hAnsi="Arial" w:cs="Arial"/>
          <w:sz w:val="24"/>
          <w:szCs w:val="24"/>
          <w:lang w:eastAsia="ru-RU"/>
        </w:rPr>
        <w:t>» (далее – Федеральный закон), государственной программы Российской Федерации «</w:t>
      </w:r>
      <w:proofErr w:type="spell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Энергоэффективность</w:t>
      </w:r>
      <w:proofErr w:type="spell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и развитие энергетики», утвержденной распоряжением Правительства РФ от </w:t>
      </w:r>
      <w:hyperlink r:id="rId15" w:history="1">
        <w:r w:rsidRPr="009F6C88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3 апреля 2013 г. N 512-р</w:t>
        </w:r>
      </w:hyperlink>
      <w:r w:rsidRPr="009F6C88">
        <w:rPr>
          <w:rFonts w:ascii="Arial" w:eastAsia="Times New Roman" w:hAnsi="Arial" w:cs="Arial"/>
          <w:sz w:val="24"/>
          <w:szCs w:val="24"/>
          <w:lang w:eastAsia="ru-RU"/>
        </w:rPr>
        <w:t>, во исполнение распоряжения Правительства Республики</w:t>
      </w:r>
      <w:proofErr w:type="gram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Мордовия от 15 июля 2013 г. № 380 – </w:t>
      </w:r>
      <w:proofErr w:type="gram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р</w:t>
      </w:r>
      <w:proofErr w:type="gram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>, с учетом требований постановления Правительства Республики Мордовия от 27 июня 2011 г. № 234 «</w:t>
      </w:r>
      <w:hyperlink r:id="rId16" w:history="1">
        <w:r w:rsidRPr="009F6C88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Об утверждении Порядка разработки, реализации и оценки эффективности государственных программ Республики Мордовия</w:t>
        </w:r>
      </w:hyperlink>
      <w:r w:rsidRPr="009F6C88">
        <w:rPr>
          <w:rFonts w:ascii="Arial" w:eastAsia="Times New Roman" w:hAnsi="Arial" w:cs="Arial"/>
          <w:sz w:val="24"/>
          <w:szCs w:val="24"/>
          <w:lang w:eastAsia="ru-RU"/>
        </w:rPr>
        <w:t>», Закона Республики Мордовия от 26 марта 2013 г. N 18-З "</w:t>
      </w:r>
      <w:hyperlink r:id="rId17" w:history="1">
        <w:r w:rsidRPr="009F6C88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О полномочиях органов государственной власти Республики Мордовия в области энергосбережения и повышения энергетической эффективности</w:t>
        </w:r>
      </w:hyperlink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", направлена на повышение </w:t>
      </w:r>
      <w:proofErr w:type="spell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энергоэффективности</w:t>
      </w:r>
      <w:proofErr w:type="spell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экономики сельского поселения.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Основной проблемой, решению которой способствует муниципальная программа, является преодоление энергетических барьеров экономического роста, в </w:t>
      </w:r>
      <w:proofErr w:type="spell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т.ч</w:t>
      </w:r>
      <w:proofErr w:type="spell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>. за счет экономии средств, высвобождаемых в результате реализации энергосберегающих мероприятий.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Решение проблемы энергосбережения требует комплексного и системного подхода, в </w:t>
      </w:r>
      <w:proofErr w:type="gram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связи</w:t>
      </w:r>
      <w:proofErr w:type="gram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с чем необходимо повысить уровень согласованности действий по ряду направлений: нормативно-правовое обеспечение, организация и управление.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Низкая </w:t>
      </w:r>
      <w:proofErr w:type="spell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энергоэффективность</w:t>
      </w:r>
      <w:proofErr w:type="spell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хозяйства, жилищного сектора и бюджетной сферы порождает высокую нагрузку коммунальных платежей на местные, республиканский и федеральный бюджеты и снижает финансовую стабильность. Более 15 % расходов  местных бюджетов приходится на оплату в той или иной форме коммунальных услуг.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Реализации огромного потенциала энергосбережения мешают барьеры, которые имеют разную природу: ценовые и финансовые барьеры, связанные со структурой и организацией экономики и рынка; социальные, культурные, поведенческие. Практически все они устранимы с помощью целевых мер политики по повышению </w:t>
      </w:r>
      <w:proofErr w:type="spell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энергоэффективности</w:t>
      </w:r>
      <w:proofErr w:type="spell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Повышение </w:t>
      </w:r>
      <w:proofErr w:type="spell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энергоэффективности</w:t>
      </w:r>
      <w:proofErr w:type="spell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в Мичуринском сельском поселении Чамзинского муниципального района Республике Мордовия потребует выработки и последовательного воплощения долгосрочной стратегии в этой области, координации усилий органов исполнительной и законодательной власти, совместной работы федеральных, республиканских органов власти, местного самоуправления, крупного, среднего и малого бизнеса, а также формирования эффективных механизмов взаимодействия всех участников процесса.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Решение проблемы требует применения организационно-финансовых механизмов взаимодействия, координации усилий, концентрации ресурсов субъектов экономики с учетом создаваемой единой системы управления политикой повышения </w:t>
      </w:r>
      <w:proofErr w:type="spell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энергоэффективности</w:t>
      </w:r>
      <w:proofErr w:type="spell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в Российской Федерации. Существенное снижение нерационального потребления энергии во всех сферах жизнедеятельности не может быть обеспечено самостоятельно собственниками объектов и сооружений. Задача кардинального повышения уровня </w:t>
      </w:r>
      <w:proofErr w:type="spell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энергоэффективности</w:t>
      </w:r>
      <w:proofErr w:type="spell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может быть решена только программно-целевыми методами.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Предусматриваются следующие варианты решения указанных проблем, а также оценка преимуществ и рисков.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Первый вариант решения проблемы - инерционный (существующее положение дел), без использования программно-целевого метода. Данный вариант приведет в конечном итоге не к снижению, а увеличению энергоемкости сельского поселения.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Второй вариант представляет собой комплексное решение всех поставленных задач в рамках реализации муниципальной программы. Только в этом случае представляется возможным расширение рамок по всем направлениям привлекаемых источников финансирования. Разработка и внедрение энергосберегающих мероприятий должны основываться на целевых республиканских, ведомственных, муниципальных и инвестиционных программах.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Реализация второго варианта решения проблемы позволит обеспечить выполнение основных индикаторов муниципальной программы.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Из двух вариантов решения проблемы наиболее целесообразным является второй вариант, при котором основные усилия будут направлены на максимальное расширение источников финансирования по всем программным мероприятиям.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Решение основных задач муниципальной программы носит долгосрочный характер, что обусловлено необходимостью изменения системы отношений на многих рынках энергоносителей.</w:t>
      </w:r>
    </w:p>
    <w:p w:rsidR="009F6C88" w:rsidRPr="009F6C88" w:rsidRDefault="009F6C88" w:rsidP="009F6C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C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" w:name="sub_1200"/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Раздел 2. </w:t>
      </w:r>
      <w:bookmarkEnd w:id="2"/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Цели, задачи и показатели (индикаторы) достижения целей и решения задач, описание основных ожидаемых конечных результатов муниципальной программы, сроков и этапов реализации муниципальной программы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Основные задачи муниципальной программы, направленные на достижение цели: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выявление потенциала энергосбережения на основании обязательных энергетических обследований;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обеспечение устойчивых темпов снижения энергопотребления в секторах экономики сельского поселения;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сохранение и расширение потенциала доходной части местного бюджета за счет сокращения нерационального потребления энергии.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Основными индикаторами и показателями выполнения муниципальной программы, позволяющими осуществлять мониторинг прогресса в достижении установленной цели муниципальной программы, являются: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снижения энергоемкости валового муниципального продукта  не менее чем на 12 % на I этапе (2016 – 2018 годы), не менее чем на 15 % на II этапе (2019 -  2021 годы) (по сравнению с 2015 годом).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(абзац 6 раздела 2 изложен в ред. постановления Администрации от </w:t>
      </w:r>
      <w:hyperlink r:id="rId18" w:history="1">
        <w:r w:rsidRPr="009F6C88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15.11.2018 №65</w:t>
        </w:r>
      </w:hyperlink>
      <w:r w:rsidRPr="009F6C88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Срок реализации муниципальной программы – 2016 – 2021 годы.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(абзац 7 раздела 2 изложен в ред. постановления Администрации от </w:t>
      </w:r>
      <w:hyperlink r:id="rId19" w:history="1">
        <w:r w:rsidRPr="009F6C88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15.11.2018 №65</w:t>
        </w:r>
      </w:hyperlink>
      <w:r w:rsidRPr="009F6C88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По окончании реализации муниципальной программы предполагается осуществить переход на </w:t>
      </w:r>
      <w:proofErr w:type="spell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энергоэффективный</w:t>
      </w:r>
      <w:proofErr w:type="spell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путь развития экономики, обеспечить развитие экономики Мичуринского сельского поселения Чамзинского муниципального района Республики Мордовия по </w:t>
      </w:r>
      <w:proofErr w:type="spell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энергоэффективному</w:t>
      </w:r>
      <w:proofErr w:type="spell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пути.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3" w:name="sub_1300"/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Раздел 3. </w:t>
      </w:r>
      <w:bookmarkEnd w:id="3"/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Обобщенная характеристика основных мероприятий муниципальной программы</w:t>
      </w:r>
    </w:p>
    <w:p w:rsidR="009F6C88" w:rsidRPr="009F6C88" w:rsidRDefault="009F6C88" w:rsidP="009F6C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C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Специфика повышения </w:t>
      </w:r>
      <w:proofErr w:type="spell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энергоэффективности</w:t>
      </w:r>
      <w:proofErr w:type="spell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в отдельных секторах экономики (организация управления и принятия решений, степень и возможности регулирования, структура и схожесть технических и институциональных решений) вызывает необходимость выделения следующих направлений по реализации программных мероприятий по повышению </w:t>
      </w:r>
      <w:proofErr w:type="spell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энергоэффективности</w:t>
      </w:r>
      <w:proofErr w:type="spell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в сельском хозяйстве;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в организациях бюджетной сферы;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в жилищном секторе.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Источники финансирования ежегодно уточняются при формировании бюджетов на соответствующий год.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bookmarkStart w:id="4" w:name="sub_300"/>
      <w:r w:rsidRPr="009F6C8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Глава 1. Повышение </w:t>
      </w:r>
      <w:proofErr w:type="spellStart"/>
      <w:r w:rsidRPr="009F6C8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энергоэффективности</w:t>
      </w:r>
      <w:proofErr w:type="spellEnd"/>
      <w:r w:rsidRPr="009F6C8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в сельском хозяйстве и прогноз конечных результатов</w:t>
      </w:r>
      <w:bookmarkEnd w:id="4"/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Муниципальная программа развития сельского хозяйства и регулирования рынков сельскохозяйственной продукции, сырья и продовольствия на 2016 – 2021 годы ставит задачи повышения конкурентоспособности агропромышленного комплекса, стимулирования инвестиционной деятельности и инновационного развития агропромышленного комплекса; развития ускоренного перехода сельского хозяйства на использование новых высокопроизводительных и ресурсосберегающих технологий.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Основным организационным мероприятием по энергосбережению и повышению энергетической эффективности в сельском хозяйстве является проведение добровольных и обязательных энергетических обследований сельскохозяйственных потребителей энергетических ресурсов.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За счет реализации этого комплекса мер будут обеспечено снижение энергоемкости сельского хозяйства на 5 % на I этапе и на 18 % за весь срок реализации муниципальной программы (2016 – 2021 годы).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(в ред. постановления Администрации от </w:t>
      </w:r>
      <w:hyperlink r:id="rId20" w:history="1">
        <w:r w:rsidRPr="009F6C88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15.11.2018 №65</w:t>
        </w:r>
      </w:hyperlink>
      <w:r w:rsidRPr="009F6C88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9F6C88" w:rsidRPr="009F6C88" w:rsidRDefault="009F6C88" w:rsidP="009F6C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C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bookmarkStart w:id="5" w:name="sub_400"/>
      <w:r w:rsidRPr="009F6C8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Глава 2. Повышение </w:t>
      </w:r>
      <w:proofErr w:type="spellStart"/>
      <w:r w:rsidRPr="009F6C8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энергоэффективности</w:t>
      </w:r>
      <w:proofErr w:type="spellEnd"/>
      <w:r w:rsidRPr="009F6C8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в организациях бюджетной сферы и прогноз конечных результатов</w:t>
      </w:r>
      <w:bookmarkEnd w:id="5"/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В Мичуринском сельском поселении Чамзинского муниципального района Республики Мордовия действуют бюджетные учреждения: 4 </w:t>
      </w:r>
      <w:proofErr w:type="spell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ФАПа</w:t>
      </w:r>
      <w:proofErr w:type="spell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>, 1 школа, 3 Дома культуры. Высокий уровень энергоемкости организаций бюджетной сферы может привести к следующим негативным последствиям: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росту затрат бюджетных учреждений на оплату коммунальных ресурсов;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снижению эффективности бюджетных расходов, вызванному ростом доли затрат на оплату коммунальных услуг в общих затратах на государственное управление;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снижению качества выполняемых услуг.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Одной из приоритетных задач в области энергосбережения является проведение мероприятий, обеспечивающих снижение энергопотребления и уменьшение бюджетных средств, направляемых на оплату энергоресурсов.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Основными организационными мероприятиями по энергосбережению и повышению энергетической эффективности в бюджетных учреждениях и сфере оказания услуг являются: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организация учета используемых энергетических ресурсов на объектах в соответствии с требованиями законодательства об энергосбережении и о повышении энергетической эффективности;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содействие заключению </w:t>
      </w:r>
      <w:proofErr w:type="spell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энергосервисных</w:t>
      </w:r>
      <w:proofErr w:type="spell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договоров (контрактов) муниципальными учреждениями в соответствии с законодательством об энергосбережении и о повышении энергетической эффективности и законодательством о размещении заказов на поставки товаров, выполнение работ, оказание услуг для государственных и муниципальных нужд.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Типовые технические мероприятия, реализуемые на объектах бюджетной сферы, обеспечивают решение задачи снижения удельного расхода энергии на 1 кв. м площади этих объектов на 9 % на I этапе, на 21 % за весь срок реализации муниципальной программы (2016 – 2021 годы) и включают: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(в ред. постановления Администрации от </w:t>
      </w:r>
      <w:hyperlink r:id="rId21" w:history="1">
        <w:r w:rsidRPr="009F6C88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15.11.2018 №65</w:t>
        </w:r>
      </w:hyperlink>
      <w:r w:rsidRPr="009F6C88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оснащение приборами учета природного газа всех объектов бюджетной сферы;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утепление зданий бюджетной сферы;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замену старых отопительных котлов в индивидуальных системах отопления зданий учреждений;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повышение эффективности систем освещения бюджетных зданий и зданий сферы услуг;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закупки энергопотребляющего оборудования высоких классов </w:t>
      </w:r>
      <w:proofErr w:type="spell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энергоэффективности</w:t>
      </w:r>
      <w:proofErr w:type="spell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для организаций бюджетной сферы за счет введения соответствующих требований в законодательство о закупке товаров для государственных и муниципальных нужд.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sub_500"/>
      <w:r w:rsidRPr="009F6C88">
        <w:rPr>
          <w:rFonts w:ascii="Arial" w:eastAsia="Times New Roman" w:hAnsi="Arial" w:cs="Arial"/>
          <w:sz w:val="24"/>
          <w:szCs w:val="24"/>
          <w:lang w:eastAsia="ru-RU"/>
        </w:rPr>
        <w:t>При реализации мероприятий по энергосбережению и повышению энергетической эффективности должны быть достигнуты следующие результаты:</w:t>
      </w:r>
      <w:bookmarkEnd w:id="6"/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- сокращение бюджетных расходов на тепл</w:t>
      </w:r>
      <w:proofErr w:type="gram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о-</w:t>
      </w:r>
      <w:proofErr w:type="gram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>, электро-, водоснабжение и водоотведение муниципальных учреждений;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- обеспечение нормальных климатических условий во всех муниципальных зданиях;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- повышение заинтересованности в энергосбережении.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Реализация программных мероприятий даст дополнительные эффекты в виде: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- формирования действующего механизма управления потреблением топливно-энергетических ресурсов муниципальными бюджетными учреждениями и сокращение бюджетных затрат на оплату коммунальных ресурсов;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- снижения затрат на энергопотребление организаций бюджетной сферы в результате реализации энергосберегающих мероприятий.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9F6C8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Глава 3. Повышение </w:t>
      </w:r>
      <w:proofErr w:type="spellStart"/>
      <w:r w:rsidRPr="009F6C8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энергоэффективности</w:t>
      </w:r>
      <w:proofErr w:type="spellEnd"/>
      <w:r w:rsidRPr="009F6C8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в жилищном (фонде) секторе и прогноз конечных результатов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Организационно-технические решения, направленные на достижение практических результатов по данному направлению: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проведение паспортизации зданий;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оснащение жилых зданий, присоединенных к системам централизованного энергоснабжения, приборами учета потребления энергии;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осуществление энергетического надзора на этапе проектирования.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lastRenderedPageBreak/>
        <w:t>Раздел 4. Перечень целевых показателей (индикаторов) эффективности реализации муниципальной программы с расшифровкой плановых значений по годам ее реализации, сведения о взаимосвязи мероприятий и результатов их выполнения с обобщенными целевыми индикаторами муниципальной программы</w:t>
      </w:r>
    </w:p>
    <w:p w:rsidR="009F6C88" w:rsidRPr="009F6C88" w:rsidRDefault="009F6C88" w:rsidP="009F6C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C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Программа энергосбережения должна обеспечить снижение потребления ТЭР и воды за счет внедрения предлагаемых данной программой решений и мероприятий.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Удельная величина потребления энергетических ресурсов в жилищном секторе: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- электрическая энергия (</w:t>
      </w:r>
      <w:proofErr w:type="spell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кВт</w:t>
      </w:r>
      <w:proofErr w:type="gram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.ч</w:t>
      </w:r>
      <w:proofErr w:type="spellEnd"/>
      <w:proofErr w:type="gram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на 1 проживающего) 560, на последующие годы планируется  понижение - довести в 2020 г.-до 511;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- холодная вода (</w:t>
      </w:r>
      <w:proofErr w:type="spell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куб</w:t>
      </w:r>
      <w:proofErr w:type="gram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.м</w:t>
      </w:r>
      <w:proofErr w:type="spellEnd"/>
      <w:proofErr w:type="gram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на 1 проживающего) 25. На последующие годы планируется  понижение - в 2020г. довести до -22,3;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- природный газ (</w:t>
      </w:r>
      <w:proofErr w:type="spell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куб</w:t>
      </w:r>
      <w:proofErr w:type="gram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.м</w:t>
      </w:r>
      <w:proofErr w:type="spellEnd"/>
      <w:proofErr w:type="gram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на 1 проживающего) 268, на последующие годы планируется дальнейшее понижение в 2020г.-241.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Удельная величина потребления энергетических ресурсов муниципальными бюджетными учреждениями имеет убывающую динамику;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- электрическая энергия (</w:t>
      </w:r>
      <w:proofErr w:type="spell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кВт</w:t>
      </w:r>
      <w:proofErr w:type="gram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.ч</w:t>
      </w:r>
      <w:proofErr w:type="spellEnd"/>
      <w:proofErr w:type="gram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на 1 человека населения) 33,8. На последующие годы планируется дальнейшее понижение - в 2020.- до 30,2;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- холодная вода (</w:t>
      </w:r>
      <w:proofErr w:type="spell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куб</w:t>
      </w:r>
      <w:proofErr w:type="gram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.м</w:t>
      </w:r>
      <w:proofErr w:type="spellEnd"/>
      <w:proofErr w:type="gram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на 1человека населения) 1,15. На последующие годы планируется понижение: в 2020 .г — 1,01;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- природный газ (</w:t>
      </w:r>
      <w:proofErr w:type="spell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куб</w:t>
      </w:r>
      <w:proofErr w:type="gram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.м</w:t>
      </w:r>
      <w:proofErr w:type="spellEnd"/>
      <w:proofErr w:type="gram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на 1 человека населения) 25.  На последующие годы планируется дальнейшее понижение: к 2020 г. до 23,1.</w:t>
      </w:r>
    </w:p>
    <w:p w:rsidR="009F6C88" w:rsidRPr="009F6C88" w:rsidRDefault="009F6C88" w:rsidP="009F6C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C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Таблица 1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Перечень целевых показателей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2"/>
        <w:gridCol w:w="2199"/>
        <w:gridCol w:w="534"/>
        <w:gridCol w:w="534"/>
        <w:gridCol w:w="534"/>
        <w:gridCol w:w="601"/>
        <w:gridCol w:w="601"/>
      </w:tblGrid>
      <w:tr w:rsidR="009F6C88" w:rsidRPr="009F6C88" w:rsidTr="009F6C88">
        <w:trPr>
          <w:tblHeader/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Единица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измерения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Планируемый период</w:t>
            </w:r>
          </w:p>
        </w:tc>
      </w:tr>
      <w:tr w:rsidR="009F6C88" w:rsidRPr="009F6C88" w:rsidTr="009F6C88">
        <w:trPr>
          <w:tblHeader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9F6C88" w:rsidRPr="009F6C88" w:rsidRDefault="009F6C88" w:rsidP="009F6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C88" w:rsidRPr="009F6C88" w:rsidRDefault="009F6C88" w:rsidP="009F6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2020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Удельная величина потребления энергетических ресурсов в жилищном секторе: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электрическая энергия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кВт·</w:t>
            </w:r>
            <w:proofErr w:type="gram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</w:t>
            </w:r>
            <w:proofErr w:type="spellEnd"/>
            <w:proofErr w:type="gram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на 1 проживаю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щего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527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511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506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501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501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холодная вода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куб. метров на 1 проживаю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щего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22,9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22,7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22,5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22,3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природный газ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куб. метров на 1 проживаю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щего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262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254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246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241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Удельная величина </w:t>
            </w: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потребления энергетических ресурсов муниципальными бюджетными учреждениями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электрическая энергия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кВт·ч</w:t>
            </w:r>
            <w:proofErr w:type="spell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</w:t>
            </w:r>
            <w:proofErr w:type="gramEnd"/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 человека населения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32,8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31,8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30,8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30,5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30,2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холодная вода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куб. метров на 1 человека населения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1,12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1,08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1,05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1,010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1,010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природный газ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куб. метров на 1 человека населения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24,3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23,4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23,1</w:t>
            </w:r>
          </w:p>
        </w:tc>
      </w:tr>
    </w:tbl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7" w:name="sub_700"/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Раздел 5. Методическое, информационное и кадровое обеспечение</w:t>
      </w:r>
      <w:bookmarkEnd w:id="7"/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Основные мероприятия охватывают: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контроль выполнения требований законодательства об энергосбережении и о повышении энергетической эффективности по подготовке и реализации  муниципальных программ в области энергосбережения и повышения энергетической эффективности;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содействие формированию бережливой модели поведения населения, включая создание набора инструментов для информирования граждан о возможных типовых решениях по энергосбережению и повышению энергетической эффективности.</w:t>
      </w:r>
    </w:p>
    <w:p w:rsidR="009F6C88" w:rsidRPr="009F6C88" w:rsidRDefault="009F6C88" w:rsidP="009F6C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C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8" w:name="sub_1400"/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Раздел 6. </w:t>
      </w:r>
      <w:bookmarkEnd w:id="8"/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Обоснование объема финансовых ресурсов, необходимых для реализации муниципальной программы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Расходы муниципальной программы формируются за счет средств   местного бюджета, а также средств внебюджетных источников.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Распределение бюджетных ассигнований на реализацию муниципальной программы утверждается решением Совета депутатов Мичуринского сельского поселения Чамзинского муниципального района «О бюджете Мичуринского сельского поселения на очередной финансовый год».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Общий объем финансовых ресурсов, необходимый для реализации муниципальной программы, составляет ___ тыс. рублей, в том числе в 2016 году – ___ тыс. рублей, в 2017 году – ___тыс. рублей, в 2018 году – ___ тыс. рублей, в 2019 году – ___ тыс. рублей, в 2020 году – ___ тыс. рублей, из них:</w:t>
      </w:r>
      <w:proofErr w:type="gramEnd"/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средства местного бюджета – ___ тыс. рублей</w:t>
      </w:r>
      <w:proofErr w:type="gram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,</w:t>
      </w:r>
      <w:proofErr w:type="gram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в том числе  в 2016 году – ___ тыс. рублей, в 2017 году – ___ тыс. рублей, в 2018 году – ___тыс. рублей, в 2019 году – ____ тыс. рублей, в 2020 году – ___ тыс. рублей;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внебюджетные источники – ___ тыс. рублей</w:t>
      </w:r>
      <w:proofErr w:type="gram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,</w:t>
      </w:r>
      <w:proofErr w:type="gram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в том числе  в 2016 году – ____ тыс. рублей, в 2017 году – ___ тыс. рублей, в 2018 году – ___ тыс. рублей, в 2019 году – ___ тыс. рублей,  в 2020 году – ___ тыс. рублей.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Распределение объема финансирования направлений муниципальной программы по источникам финансирования и годам осуществляется </w:t>
      </w:r>
      <w:proofErr w:type="gram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согласно приложения</w:t>
      </w:r>
      <w:proofErr w:type="gram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9" w:name="sub_1500"/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Раздел 7 .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</w:t>
      </w:r>
      <w:bookmarkEnd w:id="9"/>
    </w:p>
    <w:p w:rsidR="009F6C88" w:rsidRPr="009F6C88" w:rsidRDefault="009F6C88" w:rsidP="009F6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C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К рискам реализации муниципальной программы, которыми могут управлять ответственный исполнитель муниципальной программы, уменьшая вероятность их возникновения, следует отнести следующие: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1) нормативно-правовые риски, связанные с изменением действующего законодательства, регулирующего полномочия органов местного самоуправления Республики Мордовия в области энергосбережения.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Управление указанными рисками возможно посредством своевременной корректировки положений (мероприятий) муниципальной программы;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2) организационные риски, связанные с ошибками управления реализацией муниципальной программы, в том числе исполнителя, неготовностью организационной инфраструктуры к решению задач, поставленных муниципальной программой, что может привести к нецелевому и (или) неэффективному использованию бюджетных средств, невыполнению ряда мероприятий муниципальной программы или задержке в их выполнении;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3) финансовые риски, которые связаны с финансированием муниципальной программы в неполном объеме за счет средств местного бюджета и внебюджетных источников;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4) непредвиденные риски, связанные с кризисными явлениями в экономике, природными и техногенными катастрофами и катаклизмами,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населения, а также потребовать концентрации бюджетных средств на преодоление последствий таких катастроф.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Управление указанными рисками возможно посредством: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своевременной корректировки положений (мероприятий) муниципальной программы;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повышения квалификации и ответственности персонала ответственного исполнителя для своевременной и эффективной реализации предусмотренных муниципальной программой мероприятий;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координации деятельности персонала ответственного при реализации мероприятий муниципальной программы;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обеспечения сбалансированного распределения финансовых средств по основным мероприятиям муниципальной программы в соответствии с ожидаемыми конечными результатами;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осуществления прогнозирования социально-экономического развития с учетом возможного ухудшения экономической ситуации.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lastRenderedPageBreak/>
        <w:t>Раздел 8. Механизм реализации муниципальной программы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Текущее управление ходом выполнения муниципальной программы осуществляется администрацией Мичуринского сельского поселения Чамзинского муниципального района Республики Мордовия, а также несет ответственность за реализацию и конечные результаты муниципальной программы, рациональное использование выделяемых на ее выполнение финансовых средств, определяет формы и методы управления реализацией муниципальной программы. 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Муниципальная программа реализуется на правовой базе, основанной на положениях Федерального закона, постановлении Правительства Российской Федерации и Правительства Республики Мордовия по вопросам энергосбережения и повышения энергетической эффективности.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Механизм реализации муниципальной программы включает следующие элементы: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обеспечение реального энергосбережения путем реализации системы энергосберегающих программных мероприятий и проектов;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экономическое стимулирование энергосберегающей деятельности;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финансово-кредитные инструменты управления энергосбережением, предусматривающие рациональное использование бюджетных средств, их концентрацию на решении приоритетных направлений энергосбережения;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бюджетное финансирование энергосберегающих мероприятий в социальной сфере только при наличии разработанного и согласованного в установленном порядке проекта.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Реализация мероприятий муниципальной программы осуществляется на конкурсной основе с последующим заключением муниципальных контрактов.</w:t>
      </w:r>
    </w:p>
    <w:p w:rsidR="009F6C88" w:rsidRPr="009F6C88" w:rsidRDefault="009F6C88" w:rsidP="009F6C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C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Раздел 9. Методика оценки эффективности муниципальной программы</w:t>
      </w:r>
    </w:p>
    <w:p w:rsidR="009F6C88" w:rsidRPr="009F6C88" w:rsidRDefault="009F6C88" w:rsidP="009F6C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C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Методика оценки эффективности реализации муниципальной программы учитывает необходимость проведения оценок: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1) степени реализации основных мероприятий 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  <w:proofErr w:type="gramEnd"/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СРМ = МВ/М, где: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СРМ - степень реализации основных мероприятий;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МВ - количество мероприятий, выполненных в полном объеме, из числа мероприятий, запланированных к реализации в отчетном году;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М - общее количество мероприятий, запланированных к реализации в отчетном году;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lastRenderedPageBreak/>
        <w:t>2) степени соответствия запланированному уровню затрат и оценки эффективности использования средств, направленных на реализацию муниципальной программы.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Оценка степени соответствия запланированному уровню затрат и эффективности использования средств, направленных на реализацию муниципальной программы, определяется путем сопоставления плановых и фактических объемов финансирования муниципальной программы по формуле: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ССУЗ = ФФ/ ФП, где: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ССУЗ - уровень финансирования реализации муниципальной программы;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ФФ - фактический объем финансовых ресурсов, направленный на реализацию муниципальной программы;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ФП - плановый объем финансовых ресурсов на соответствующий отчетный период;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Оценка эффективности использования средств, направленных на реализацию муниципальной программы, определяется по формуле: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ЭС = СРМ/ССУЗ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3) степени достижения целей и решения задач муниципальной программы.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(индикаторов) муниципальной программы и их плановых значений по формуле: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СДЦ = (СДП</w:t>
      </w:r>
      <w:proofErr w:type="gram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 + СДП2 + </w:t>
      </w:r>
      <w:proofErr w:type="spellStart"/>
      <w:r w:rsidRPr="009F6C88">
        <w:rPr>
          <w:rFonts w:ascii="Arial" w:eastAsia="Times New Roman" w:hAnsi="Arial" w:cs="Arial"/>
          <w:sz w:val="24"/>
          <w:szCs w:val="24"/>
          <w:lang w:eastAsia="ru-RU"/>
        </w:rPr>
        <w:t>СДПn</w:t>
      </w:r>
      <w:proofErr w:type="spellEnd"/>
      <w:r w:rsidRPr="009F6C88">
        <w:rPr>
          <w:rFonts w:ascii="Arial" w:eastAsia="Times New Roman" w:hAnsi="Arial" w:cs="Arial"/>
          <w:sz w:val="24"/>
          <w:szCs w:val="24"/>
          <w:lang w:eastAsia="ru-RU"/>
        </w:rPr>
        <w:t>) / n, где: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СДЦ - степень достижения целей (решения задач);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СДП - степень достижения показателя (индикатора) муниципальной программы;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n - количество показателей (индикаторов) муниципальной программы.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Степень достижения показателя (индикатора) муниципальной программы (СДП) может рассчитываться по формуле: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СДП = ЗФ/ЗП, где: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ЗФ - фактическое значение показателя (индикатора) муниципальной программы (подпрограммы);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ЗП - плановое значение показателя (индикатора) муниципальной программы (для показателей (индикаторов), желаемой тенденцией развития которых является рост значений) или,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СДП = ЗП/ЗФ (для целевых показателей (индикаторов), желаемой тенденцией развития которых является снижение значений);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4) общей оценки эффективности реализации муниципальной программы (ЭРП) рассчитываемой по следующей формуле: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ЭРП = СДЦ x ЭС.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67"/>
        <w:gridCol w:w="3488"/>
      </w:tblGrid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Вывод об эффективности реализации муниципальной программы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Критерий оценки эффективности ЭГП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Неэффективная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менее 0,5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Уровень эффективности удовлетворительный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0,5 - 0,79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Эффективная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0,8 - 1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Высокоэффективная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более 1</w:t>
            </w:r>
          </w:p>
        </w:tc>
      </w:tr>
    </w:tbl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b/>
          <w:bCs/>
          <w:noProof/>
          <w:sz w:val="27"/>
          <w:szCs w:val="27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Якорь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Якорь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Mv9sHDnAgAA2w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Приложение 1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к муниципальной программе «Энергосбережение и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повышение энергетической эффективности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в Мичуринском сельском поселении Чамзинского муниципального района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Мордовия» на 2016 – 2020 годы  </w:t>
      </w:r>
    </w:p>
    <w:p w:rsidR="009F6C88" w:rsidRPr="009F6C88" w:rsidRDefault="009F6C88" w:rsidP="009F6C8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C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F6C88" w:rsidRPr="009F6C88" w:rsidRDefault="009F6C88" w:rsidP="009F6C8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Перечень мероприятий муниципальной целевой программы «Энергосбережение и повышение энергетической эффективности в Мичуринском сельском поселении Чамзинского муниципального района Республики Мордовия» на 2016-2020 годы по источникам финансирования и по годам</w:t>
      </w:r>
    </w:p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113"/>
        <w:gridCol w:w="751"/>
        <w:gridCol w:w="931"/>
        <w:gridCol w:w="1311"/>
        <w:gridCol w:w="1566"/>
        <w:gridCol w:w="915"/>
        <w:gridCol w:w="958"/>
        <w:gridCol w:w="1394"/>
      </w:tblGrid>
      <w:tr w:rsidR="009F6C88" w:rsidRPr="009F6C88" w:rsidTr="009F6C88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№№ </w:t>
            </w:r>
            <w:proofErr w:type="spell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программных мероприятий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Всего (</w:t>
            </w:r>
            <w:proofErr w:type="spell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</w:t>
            </w:r>
            <w:proofErr w:type="gram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уб</w:t>
            </w:r>
            <w:proofErr w:type="spell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.), в </w:t>
            </w:r>
            <w:proofErr w:type="spell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т.ч</w:t>
            </w:r>
            <w:proofErr w:type="spell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Средства, поступившие из федерального бюджета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</w:t>
            </w:r>
            <w:proofErr w:type="spell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</w:t>
            </w:r>
            <w:proofErr w:type="gram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уб</w:t>
            </w:r>
            <w:proofErr w:type="spell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Республиканский бюджет Республики Мордовия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</w:t>
            </w:r>
            <w:proofErr w:type="spell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</w:t>
            </w:r>
            <w:proofErr w:type="gram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уб</w:t>
            </w:r>
            <w:proofErr w:type="spell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районного  и местного бюджетов (</w:t>
            </w:r>
            <w:proofErr w:type="spell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</w:t>
            </w:r>
            <w:proofErr w:type="gram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уб</w:t>
            </w:r>
            <w:proofErr w:type="spell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Внебюджетные источники</w:t>
            </w:r>
          </w:p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</w:t>
            </w:r>
            <w:proofErr w:type="spell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</w:t>
            </w:r>
            <w:proofErr w:type="gram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уб</w:t>
            </w:r>
            <w:proofErr w:type="spell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.)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9F6C88" w:rsidRPr="009F6C88" w:rsidRDefault="009F6C88" w:rsidP="009F6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9F6C88" w:rsidRPr="009F6C88" w:rsidRDefault="009F6C88" w:rsidP="009F6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C88" w:rsidRPr="009F6C88" w:rsidRDefault="009F6C88" w:rsidP="009F6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C88" w:rsidRPr="009F6C88" w:rsidRDefault="009F6C88" w:rsidP="009F6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C88" w:rsidRPr="009F6C88" w:rsidRDefault="009F6C88" w:rsidP="009F6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Районный бюджет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Бюджет поселения</w:t>
            </w:r>
          </w:p>
        </w:tc>
        <w:tc>
          <w:tcPr>
            <w:tcW w:w="0" w:type="auto"/>
            <w:vMerge/>
            <w:vAlign w:val="center"/>
            <w:hideMark/>
          </w:tcPr>
          <w:p w:rsidR="009F6C88" w:rsidRPr="009F6C88" w:rsidRDefault="009F6C88" w:rsidP="009F6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9F6C88" w:rsidRPr="009F6C88" w:rsidRDefault="009F6C88" w:rsidP="009F6C88">
            <w:pPr>
              <w:numPr>
                <w:ilvl w:val="0"/>
                <w:numId w:val="2"/>
              </w:numPr>
              <w:shd w:val="clear" w:color="auto" w:fill="FFFFFF"/>
              <w:spacing w:before="240" w:after="240" w:line="240" w:lineRule="atLeast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Повышение </w:t>
            </w:r>
            <w:proofErr w:type="spell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энергоэффективности</w:t>
            </w:r>
            <w:proofErr w:type="spell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 сельском хозяйстве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Замена приборов учета энергоресурсов на </w:t>
            </w:r>
            <w:proofErr w:type="gram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интеллектуальные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2016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2017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2018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2019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2020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9F6C88" w:rsidRPr="009F6C88" w:rsidRDefault="009F6C88" w:rsidP="009F6C88">
            <w:pPr>
              <w:numPr>
                <w:ilvl w:val="0"/>
                <w:numId w:val="3"/>
              </w:numPr>
              <w:shd w:val="clear" w:color="auto" w:fill="FFFFFF"/>
              <w:spacing w:before="240" w:after="240" w:line="240" w:lineRule="atLeast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Повышение </w:t>
            </w:r>
            <w:proofErr w:type="spell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энергоэффективности</w:t>
            </w:r>
            <w:proofErr w:type="spell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 бюджетной сфере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Замена приборов учета </w:t>
            </w: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энергоресурсов на </w:t>
            </w:r>
            <w:proofErr w:type="gram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интеллектуальные</w:t>
            </w:r>
            <w:proofErr w:type="gram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поверка существующих приборов учета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2016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2017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2018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2019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2020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Повышение эффективности систем освещения бюджетных зданий (поэтапная замена источников освещения на </w:t>
            </w:r>
            <w:proofErr w:type="spell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энергоэффективные</w:t>
            </w:r>
            <w:proofErr w:type="spell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световые устройства).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2016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2017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2018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2019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2020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Заключение </w:t>
            </w:r>
            <w:proofErr w:type="spell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энергосервисных</w:t>
            </w:r>
            <w:proofErr w:type="spell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договоров (контрактов)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2016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2017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2018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2019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2020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9F6C88" w:rsidRPr="009F6C88" w:rsidRDefault="009F6C88" w:rsidP="009F6C88">
            <w:pPr>
              <w:numPr>
                <w:ilvl w:val="0"/>
                <w:numId w:val="4"/>
              </w:numPr>
              <w:shd w:val="clear" w:color="auto" w:fill="FFFFFF"/>
              <w:spacing w:before="240" w:after="240" w:line="240" w:lineRule="atLeast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Повышение </w:t>
            </w:r>
            <w:proofErr w:type="spellStart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энергоэффективности</w:t>
            </w:r>
            <w:proofErr w:type="spellEnd"/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 жилищном секторе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Установка современных поквартирных приборов учета коммунальных ресурсов, замена устаревших счетчиков на счетчики </w:t>
            </w: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повышенного класса точности в жилищном фонде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2016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2017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2018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2019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2020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2016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2017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2018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2019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2020 г.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F6C88" w:rsidRPr="009F6C88" w:rsidRDefault="009F6C88" w:rsidP="009F6C8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F6C88" w:rsidRPr="009F6C88" w:rsidTr="009F6C88">
        <w:trPr>
          <w:tblCellSpacing w:w="0" w:type="dxa"/>
        </w:trPr>
        <w:tc>
          <w:tcPr>
            <w:tcW w:w="431" w:type="dxa"/>
            <w:vAlign w:val="center"/>
            <w:hideMark/>
          </w:tcPr>
          <w:p w:rsidR="009F6C88" w:rsidRPr="009F6C88" w:rsidRDefault="009F6C88" w:rsidP="009F6C88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65" w:type="dxa"/>
            <w:vAlign w:val="center"/>
            <w:hideMark/>
          </w:tcPr>
          <w:p w:rsidR="009F6C88" w:rsidRPr="009F6C88" w:rsidRDefault="009F6C88" w:rsidP="009F6C88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65" w:type="dxa"/>
            <w:vAlign w:val="center"/>
            <w:hideMark/>
          </w:tcPr>
          <w:p w:rsidR="009F6C88" w:rsidRPr="009F6C88" w:rsidRDefault="009F6C88" w:rsidP="009F6C88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64" w:type="dxa"/>
            <w:vAlign w:val="center"/>
            <w:hideMark/>
          </w:tcPr>
          <w:p w:rsidR="009F6C88" w:rsidRPr="009F6C88" w:rsidRDefault="009F6C88" w:rsidP="009F6C88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358" w:type="dxa"/>
            <w:vAlign w:val="center"/>
            <w:hideMark/>
          </w:tcPr>
          <w:p w:rsidR="009F6C88" w:rsidRPr="009F6C88" w:rsidRDefault="009F6C88" w:rsidP="009F6C88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622" w:type="dxa"/>
            <w:vAlign w:val="center"/>
            <w:hideMark/>
          </w:tcPr>
          <w:p w:rsidR="009F6C88" w:rsidRPr="009F6C88" w:rsidRDefault="009F6C88" w:rsidP="009F6C88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48" w:type="dxa"/>
            <w:vAlign w:val="center"/>
            <w:hideMark/>
          </w:tcPr>
          <w:p w:rsidR="009F6C88" w:rsidRPr="009F6C88" w:rsidRDefault="009F6C88" w:rsidP="009F6C88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  <w:hideMark/>
          </w:tcPr>
          <w:p w:rsidR="009F6C88" w:rsidRPr="009F6C88" w:rsidRDefault="009F6C88" w:rsidP="009F6C88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444" w:type="dxa"/>
            <w:vAlign w:val="center"/>
            <w:hideMark/>
          </w:tcPr>
          <w:p w:rsidR="009F6C88" w:rsidRPr="009F6C88" w:rsidRDefault="009F6C88" w:rsidP="009F6C88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</w:tbl>
    <w:p w:rsidR="009F6C88" w:rsidRPr="009F6C88" w:rsidRDefault="009F6C88" w:rsidP="009F6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F6C88" w:rsidRPr="009F6C88" w:rsidRDefault="009F6C88" w:rsidP="009F6C88">
      <w:pPr>
        <w:spacing w:after="0" w:line="240" w:lineRule="auto"/>
        <w:ind w:righ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C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91C66" w:rsidRDefault="00591C66"/>
    <w:sectPr w:rsidR="00591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F170C4"/>
    <w:multiLevelType w:val="multilevel"/>
    <w:tmpl w:val="BF7C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FC751C"/>
    <w:multiLevelType w:val="multilevel"/>
    <w:tmpl w:val="2CD65D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8C42B9"/>
    <w:multiLevelType w:val="multilevel"/>
    <w:tmpl w:val="C75E0E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AC03A0"/>
    <w:multiLevelType w:val="multilevel"/>
    <w:tmpl w:val="65CE2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C88"/>
    <w:rsid w:val="00591C66"/>
    <w:rsid w:val="00860574"/>
    <w:rsid w:val="009F6C88"/>
    <w:rsid w:val="00E2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F6C8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F6C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9F6C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9F6C8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F6C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F6C8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F6C8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F6C8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F6C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6C8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F6C88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F6C8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F6C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9F6C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9F6C8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F6C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F6C8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F6C8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F6C8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F6C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6C8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F6C88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16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1f2aa021-e1ba-40de-b08b-c022ffc45110.html" TargetMode="External"/><Relationship Id="rId13" Type="http://schemas.openxmlformats.org/officeDocument/2006/relationships/hyperlink" Target="http://rnla-service.scli.ru:8080/rnla-links/ws/content/act/1f2aa021-e1ba-40de-b08b-c022ffc45110.html" TargetMode="External"/><Relationship Id="rId18" Type="http://schemas.openxmlformats.org/officeDocument/2006/relationships/hyperlink" Target="http://rnla-service.scli.ru:8080/rnla-links/ws/content/act/1f2aa021-e1ba-40de-b08b-c022ffc45110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rnla-service.scli.ru:8080/rnla-links/ws/content/act/1f2aa021-e1ba-40de-b08b-c022ffc45110.html" TargetMode="External"/><Relationship Id="rId7" Type="http://schemas.openxmlformats.org/officeDocument/2006/relationships/hyperlink" Target="http://rnla-service.scli.ru:8080/rnla-links/ws/content/act/1f2aa021-e1ba-40de-b08b-c022ffc45110.html" TargetMode="External"/><Relationship Id="rId12" Type="http://schemas.openxmlformats.org/officeDocument/2006/relationships/hyperlink" Target="http://rnla-service.scli.ru:8080/rnla-links/ws/content/act/1f2aa021-e1ba-40de-b08b-c022ffc45110.html" TargetMode="External"/><Relationship Id="rId17" Type="http://schemas.openxmlformats.org/officeDocument/2006/relationships/hyperlink" Target="http://rnla-service.scli.ru:8080/rnla-links/ws/content/act/5d6cbefd-67e4-4751-a2ab-75bd0908dfad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rnla-service.scli.ru:8080/rnla-links/ws/content/act/0f9a83c4-57ea-435b-b984-753345d6475e.html" TargetMode="External"/><Relationship Id="rId20" Type="http://schemas.openxmlformats.org/officeDocument/2006/relationships/hyperlink" Target="http://rnla-service.scli.ru:8080/rnla-links/ws/content/act/1f2aa021-e1ba-40de-b08b-c022ffc45110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rnla-service.scli.ru:8080/rnla-links/ws/content/act/1f2aa021-e1ba-40de-b08b-c022ffc45110.html" TargetMode="External"/><Relationship Id="rId11" Type="http://schemas.openxmlformats.org/officeDocument/2006/relationships/hyperlink" Target="http://rnla-service.scli.ru:8080/rnla-links/ws/content/act/1f2aa021-e1ba-40de-b08b-c022ffc45110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nla-service.scli.ru:8080/rnla-links/ws/content/act/5b7d15e3-c935-49f6-a9da-f976aeed5c29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rnla-service.scli.ru:8080/rnla-links/ws/content/act/1f2aa021-e1ba-40de-b08b-c022ffc45110.html" TargetMode="External"/><Relationship Id="rId19" Type="http://schemas.openxmlformats.org/officeDocument/2006/relationships/hyperlink" Target="http://rnla-service.scli.ru:8080/rnla-links/ws/content/act/1f2aa021-e1ba-40de-b08b-c022ffc45110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nla-service.scli.ru:8080/rnla-links/ws/content/act/1f2aa021-e1ba-40de-b08b-c022ffc45110.html" TargetMode="External"/><Relationship Id="rId14" Type="http://schemas.openxmlformats.org/officeDocument/2006/relationships/hyperlink" Target="http://rnla-service.scli.ru:8080/rnla-links/ws/content/act/3f6daad2-8120-4484-a7b6-528eb728c450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4753</Words>
  <Characters>27094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2020-08-13T08:59:00Z</dcterms:created>
  <dcterms:modified xsi:type="dcterms:W3CDTF">2020-09-07T13:13:00Z</dcterms:modified>
</cp:coreProperties>
</file>