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uppressAutoHyphens w:val="true"/>
        <w:spacing w:before="0" w:after="0" w:line="240"/>
        <w:ind w:right="0" w:left="0" w:firstLine="708"/>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АДМИНИСТРАЦИЯ  АПРАКСИНСКОГО  СЕЛЬСКОГО ПОСЕЛЕНИЯ</w:t>
      </w:r>
    </w:p>
    <w:p>
      <w:pPr>
        <w:suppressAutoHyphens w:val="true"/>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ЧАМЗИНСКОГО МУНИЦИПАЛЬНОГО РАЙОНА</w:t>
      </w:r>
    </w:p>
    <w:p>
      <w:pPr>
        <w:suppressAutoHyphens w:val="true"/>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РЕСПУБЛИКА  МОРДОВИЯ</w:t>
      </w:r>
    </w:p>
    <w:p>
      <w:pPr>
        <w:suppressAutoHyphens w:val="true"/>
        <w:spacing w:before="0" w:after="0" w:line="240"/>
        <w:ind w:right="0" w:left="0" w:firstLine="0"/>
        <w:jc w:val="both"/>
        <w:rPr>
          <w:rFonts w:ascii="Times New Roman" w:hAnsi="Times New Roman" w:cs="Times New Roman" w:eastAsia="Times New Roman"/>
          <w:color w:val="FF0000"/>
          <w:spacing w:val="0"/>
          <w:position w:val="0"/>
          <w:sz w:val="28"/>
          <w:shd w:fill="auto" w:val="clear"/>
        </w:rPr>
      </w:pPr>
    </w:p>
    <w:p>
      <w:pPr>
        <w:tabs>
          <w:tab w:val="left" w:pos="360" w:leader="none"/>
          <w:tab w:val="left" w:pos="720" w:leader="none"/>
        </w:tabs>
        <w:suppressAutoHyphens w:val="true"/>
        <w:spacing w:before="0" w:after="120" w:line="240"/>
        <w:ind w:right="0" w:left="0" w:firstLine="0"/>
        <w:jc w:val="both"/>
        <w:rPr>
          <w:rFonts w:ascii="Times New Roman" w:hAnsi="Times New Roman" w:cs="Times New Roman" w:eastAsia="Times New Roman"/>
          <w:color w:val="auto"/>
          <w:spacing w:val="0"/>
          <w:position w:val="0"/>
          <w:sz w:val="28"/>
          <w:shd w:fill="auto" w:val="clear"/>
        </w:rPr>
      </w:pPr>
    </w:p>
    <w:p>
      <w:pPr>
        <w:suppressAutoHyphens w:val="true"/>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РАСПОРЯЖЕНИЕ</w:t>
      </w:r>
    </w:p>
    <w:p>
      <w:pPr>
        <w:suppressAutoHyphens w:val="true"/>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28.06.2022 </w:t>
      </w:r>
      <w:r>
        <w:rPr>
          <w:rFonts w:ascii="Times New Roman" w:hAnsi="Times New Roman" w:cs="Times New Roman" w:eastAsia="Times New Roman"/>
          <w:color w:val="auto"/>
          <w:spacing w:val="0"/>
          <w:position w:val="0"/>
          <w:sz w:val="28"/>
          <w:shd w:fill="auto" w:val="clear"/>
        </w:rPr>
        <w:t xml:space="preserve">г.                                                                                                                       № 37</w:t>
      </w:r>
    </w:p>
    <w:p>
      <w:pPr>
        <w:suppressAutoHyphens w:val="true"/>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Апраксино</w:t>
      </w:r>
    </w:p>
    <w:p>
      <w:pPr>
        <w:suppressAutoHyphens w:val="true"/>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uppressAutoHyphens w:val="tru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Об  создании комиссии по осмотру</w:t>
      </w:r>
    </w:p>
    <w:p>
      <w:pPr>
        <w:suppressAutoHyphens w:val="tru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зданий,сооружений или объектов</w:t>
      </w:r>
    </w:p>
    <w:p>
      <w:pPr>
        <w:suppressAutoHyphens w:val="tru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незавершенного строительства</w:t>
      </w:r>
    </w:p>
    <w:p>
      <w:pPr>
        <w:suppressAutoHyphens w:val="tru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при проведении мероприятий</w:t>
      </w:r>
    </w:p>
    <w:p>
      <w:pPr>
        <w:suppressAutoHyphens w:val="tru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по выявлению правообладателей</w:t>
      </w:r>
    </w:p>
    <w:p>
      <w:pPr>
        <w:suppressAutoHyphens w:val="tru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ранее учтенных объектов недвижимости </w:t>
      </w:r>
    </w:p>
    <w:p>
      <w:pPr>
        <w:suppressAutoHyphens w:val="true"/>
        <w:spacing w:before="0" w:after="0" w:line="24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24"/>
          <w:shd w:fill="auto" w:val="clear"/>
        </w:rPr>
        <w:t xml:space="preserve">на территории Апраксинского сельского поселения</w:t>
      </w:r>
      <w:r>
        <w:rPr>
          <w:rFonts w:ascii="Times New Roman" w:hAnsi="Times New Roman" w:cs="Times New Roman" w:eastAsia="Times New Roman"/>
          <w:b/>
          <w:color w:val="auto"/>
          <w:spacing w:val="0"/>
          <w:position w:val="0"/>
          <w:sz w:val="32"/>
          <w:shd w:fill="auto" w:val="clear"/>
        </w:rPr>
        <w:t xml:space="preserve">.</w:t>
      </w:r>
    </w:p>
    <w:p>
      <w:pPr>
        <w:suppressAutoHyphens w:val="true"/>
        <w:spacing w:before="0" w:after="0" w:line="240"/>
        <w:ind w:right="0" w:left="0" w:firstLine="0"/>
        <w:jc w:val="left"/>
        <w:rPr>
          <w:rFonts w:ascii="Times New Roman" w:hAnsi="Times New Roman" w:cs="Times New Roman" w:eastAsia="Times New Roman"/>
          <w:b/>
          <w:color w:val="auto"/>
          <w:spacing w:val="0"/>
          <w:position w:val="0"/>
          <w:sz w:val="32"/>
          <w:shd w:fill="auto" w:val="clear"/>
        </w:rPr>
      </w:pPr>
    </w:p>
    <w:p>
      <w:pPr>
        <w:suppressAutoHyphens w:val="true"/>
        <w:spacing w:before="0" w:after="0" w:line="240"/>
        <w:ind w:right="0" w:left="0" w:firstLine="0"/>
        <w:jc w:val="left"/>
        <w:rPr>
          <w:rFonts w:ascii="Times New Roman" w:hAnsi="Times New Roman" w:cs="Times New Roman" w:eastAsia="Times New Roman"/>
          <w:b/>
          <w:color w:val="auto"/>
          <w:spacing w:val="0"/>
          <w:position w:val="0"/>
          <w:sz w:val="32"/>
          <w:shd w:fill="auto" w:val="clear"/>
        </w:rPr>
      </w:pP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32"/>
          <w:shd w:fill="auto" w:val="clear"/>
        </w:rPr>
        <w:t xml:space="preserve">       </w:t>
      </w:r>
      <w:r>
        <w:rPr>
          <w:rFonts w:ascii="Times New Roman" w:hAnsi="Times New Roman" w:cs="Times New Roman" w:eastAsia="Times New Roman"/>
          <w:color w:val="auto"/>
          <w:spacing w:val="0"/>
          <w:position w:val="0"/>
          <w:sz w:val="28"/>
          <w:shd w:fill="auto" w:val="clear"/>
        </w:rPr>
        <w:t xml:space="preserve">В соответствии с Федеральным законом от 06.10.2003 №131-ФЗ "Об общих принципах организации местного самоуправления в Российской Федерации", пунктом 5 части 6 статьи 69.1 Федерального закона от 13.07.2015 №218-ФЗ "О государственной регистрации недвижимости", приказом Росреестра от 28.04.2021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УставомАпраксинского сельского поселения: </w:t>
      </w: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1. </w:t>
      </w:r>
      <w:r>
        <w:rPr>
          <w:rFonts w:ascii="Times New Roman" w:hAnsi="Times New Roman" w:cs="Times New Roman" w:eastAsia="Times New Roman"/>
          <w:color w:val="auto"/>
          <w:spacing w:val="0"/>
          <w:position w:val="0"/>
          <w:sz w:val="28"/>
          <w:shd w:fill="auto" w:val="clear"/>
        </w:rPr>
        <w:t xml:space="preserve">Создать комиссию по осмотру зданий, сооружений или объектов незавершенного строительства при проведении мероприятий по выявлению правообладателей ранее учтенных объектов недвижимости на территории Апраксинского сельского поселения(далее- комиссия).</w:t>
      </w: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2. </w:t>
      </w:r>
      <w:r>
        <w:rPr>
          <w:rFonts w:ascii="Times New Roman" w:hAnsi="Times New Roman" w:cs="Times New Roman" w:eastAsia="Times New Roman"/>
          <w:color w:val="auto"/>
          <w:spacing w:val="0"/>
          <w:position w:val="0"/>
          <w:sz w:val="28"/>
          <w:shd w:fill="auto" w:val="clear"/>
        </w:rPr>
        <w:t xml:space="preserve">Утвердить состав комиссии согласно Приложения.    </w:t>
      </w: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3.</w:t>
      </w:r>
      <w:r>
        <w:rPr>
          <w:rFonts w:ascii="Times New Roman" w:hAnsi="Times New Roman" w:cs="Times New Roman" w:eastAsia="Times New Roman"/>
          <w:color w:val="auto"/>
          <w:spacing w:val="0"/>
          <w:position w:val="0"/>
          <w:sz w:val="28"/>
          <w:shd w:fill="auto" w:val="clear"/>
        </w:rPr>
        <w:t xml:space="preserve">Контроль за исполнением настоящего распоряжения оставляю за собой.     </w:t>
      </w:r>
    </w:p>
    <w:p>
      <w:pPr>
        <w:suppressAutoHyphens w:val="true"/>
        <w:spacing w:before="0" w:after="0" w:line="360"/>
        <w:ind w:right="0" w:left="0" w:firstLine="525"/>
        <w:jc w:val="both"/>
        <w:rPr>
          <w:rFonts w:ascii="Times New Roman" w:hAnsi="Times New Roman" w:cs="Times New Roman" w:eastAsia="Times New Roman"/>
          <w:color w:val="auto"/>
          <w:spacing w:val="0"/>
          <w:position w:val="0"/>
          <w:sz w:val="28"/>
          <w:shd w:fill="auto" w:val="clear"/>
        </w:rPr>
      </w:pPr>
    </w:p>
    <w:p>
      <w:pPr>
        <w:suppressAutoHyphens w:val="true"/>
        <w:spacing w:before="0" w:after="0" w:line="360"/>
        <w:ind w:right="0" w:left="0" w:firstLine="525"/>
        <w:jc w:val="both"/>
        <w:rPr>
          <w:rFonts w:ascii="Times New Roman" w:hAnsi="Times New Roman" w:cs="Times New Roman" w:eastAsia="Times New Roman"/>
          <w:color w:val="auto"/>
          <w:spacing w:val="0"/>
          <w:position w:val="0"/>
          <w:sz w:val="28"/>
          <w:shd w:fill="auto" w:val="clear"/>
        </w:rPr>
      </w:pPr>
    </w:p>
    <w:p>
      <w:pPr>
        <w:suppressAutoHyphens w:val="true"/>
        <w:spacing w:before="0" w:after="0" w:line="360"/>
        <w:ind w:right="0" w:left="0" w:firstLine="525"/>
        <w:jc w:val="both"/>
        <w:rPr>
          <w:rFonts w:ascii="Times New Roman" w:hAnsi="Times New Roman" w:cs="Times New Roman" w:eastAsia="Times New Roman"/>
          <w:color w:val="auto"/>
          <w:spacing w:val="0"/>
          <w:position w:val="0"/>
          <w:sz w:val="28"/>
          <w:shd w:fill="auto" w:val="clear"/>
        </w:rPr>
      </w:pPr>
    </w:p>
    <w:p>
      <w:pPr>
        <w:suppressAutoHyphens w:val="true"/>
        <w:spacing w:before="0" w:after="0" w:line="360"/>
        <w:ind w:right="0" w:left="0" w:firstLine="525"/>
        <w:jc w:val="both"/>
        <w:rPr>
          <w:rFonts w:ascii="Times New Roman" w:hAnsi="Times New Roman" w:cs="Times New Roman" w:eastAsia="Times New Roman"/>
          <w:color w:val="auto"/>
          <w:spacing w:val="0"/>
          <w:position w:val="0"/>
          <w:sz w:val="28"/>
          <w:shd w:fill="auto" w:val="clear"/>
        </w:rPr>
      </w:pPr>
    </w:p>
    <w:p>
      <w:pPr>
        <w:suppressAutoHyphens w:val="true"/>
        <w:spacing w:before="0" w:after="0" w:line="360"/>
        <w:ind w:right="0" w:left="0" w:firstLine="525"/>
        <w:jc w:val="both"/>
        <w:rPr>
          <w:rFonts w:ascii="Times New Roman" w:hAnsi="Times New Roman" w:cs="Times New Roman" w:eastAsia="Times New Roman"/>
          <w:color w:val="auto"/>
          <w:spacing w:val="0"/>
          <w:position w:val="0"/>
          <w:sz w:val="28"/>
          <w:shd w:fill="auto" w:val="clear"/>
        </w:rPr>
      </w:pPr>
    </w:p>
    <w:p>
      <w:pPr>
        <w:suppressAutoHyphens w:val="true"/>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И.о.главы администрации </w:t>
      </w:r>
    </w:p>
    <w:p>
      <w:pPr>
        <w:suppressAutoHyphens w:val="true"/>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Апраксинского сельского поселения                                                         Т.А. Глебова                                                                             </w:t>
      </w:r>
    </w:p>
    <w:p>
      <w:pPr>
        <w:tabs>
          <w:tab w:val="left" w:pos="360" w:leader="none"/>
          <w:tab w:val="left" w:pos="720" w:leader="none"/>
        </w:tabs>
        <w:suppressAutoHyphens w:val="true"/>
        <w:spacing w:before="0" w:after="120" w:line="240"/>
        <w:ind w:right="0" w:left="-15" w:firstLine="0"/>
        <w:jc w:val="both"/>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Приложение</w:t>
      </w:r>
    </w:p>
    <w:p>
      <w:pPr>
        <w:spacing w:before="0" w:after="200" w:line="276"/>
        <w:ind w:right="0"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к распоряжению </w:t>
      </w:r>
    </w:p>
    <w:p>
      <w:pPr>
        <w:spacing w:before="0" w:after="200" w:line="276"/>
        <w:ind w:right="0"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администрации Апраксинского</w:t>
      </w:r>
    </w:p>
    <w:p>
      <w:pPr>
        <w:spacing w:before="0" w:after="200" w:line="276"/>
        <w:ind w:right="0"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сельского поселения</w:t>
      </w:r>
    </w:p>
    <w:p>
      <w:pPr>
        <w:spacing w:before="0" w:after="200" w:line="276"/>
        <w:ind w:right="0"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от 28.06.2022 № 37</w:t>
      </w:r>
    </w:p>
    <w:p>
      <w:pPr>
        <w:spacing w:before="0" w:after="200" w:line="276"/>
        <w:ind w:right="0" w:left="0" w:firstLine="0"/>
        <w:jc w:val="center"/>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Состав</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комиссии по осмотру зданий, сооружений или объетов незавершенного строительства при проведении мероприятий по выявлению правообладателей ранее учтенных объектов недвижимости на территории Апраксинского сельского поселения Чамзинского муниципального района Республики Мордовия.</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Глебова Тамара Алексеевна-       и.о.главы администрации Апраксинского сельского поселения, председатель комиссии.</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Члены комиссии:</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Чижаева Инна Викторовна- заведующая КДЦ Апраксинского сельского поселения.</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Кемайкина Ольга Петровна- Депутат Совета депутатов Апраксинского сельского поселения.</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1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