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506D0B">
        <w:rPr>
          <w:rFonts w:ascii="Times New Roman" w:eastAsia="Times New Roman" w:hAnsi="Times New Roman" w:cs="Times New Roman"/>
          <w:sz w:val="28"/>
          <w:szCs w:val="28"/>
        </w:rPr>
        <w:t>24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6D0B">
        <w:rPr>
          <w:rFonts w:ascii="Times New Roman" w:eastAsia="Times New Roman" w:hAnsi="Times New Roman" w:cs="Times New Roman"/>
          <w:sz w:val="28"/>
          <w:szCs w:val="28"/>
        </w:rPr>
        <w:t>июня 2022 года  № 51</w:t>
      </w:r>
    </w:p>
    <w:p w:rsidR="009F64D7" w:rsidRDefault="00B778F7" w:rsidP="00BF5C51">
      <w:pPr>
        <w:pStyle w:val="ConsTitle"/>
        <w:widowControl/>
        <w:ind w:right="0"/>
        <w:jc w:val="center"/>
      </w:pPr>
      <w:bookmarkStart w:id="0" w:name="sub_100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bookmarkEnd w:id="0"/>
    <w:p w:rsidR="00C92AC5" w:rsidRDefault="00506D0B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ИНФОРМАЦИЯ ПРОКУРАТУРЫ</w:t>
      </w:r>
    </w:p>
    <w:p w:rsidR="00506D0B" w:rsidRDefault="00506D0B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506D0B" w:rsidRPr="004810A5" w:rsidRDefault="00506D0B" w:rsidP="00506D0B">
      <w:pPr>
        <w:ind w:firstLine="709"/>
        <w:jc w:val="both"/>
        <w:outlineLvl w:val="0"/>
        <w:rPr>
          <w:b/>
          <w:sz w:val="24"/>
          <w:szCs w:val="24"/>
        </w:rPr>
      </w:pPr>
      <w:r w:rsidRPr="004810A5">
        <w:rPr>
          <w:b/>
          <w:sz w:val="24"/>
          <w:szCs w:val="24"/>
        </w:rPr>
        <w:t>«В каких случаях работник может отказаться от служебной командировки?»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Особенности направления работников в служебные командировки установлены Постановлением Правительства РФ от 13.10.2008 № 749, согласно которому в командировки направляются работники, состоящие в трудовых отношениях с работодателем.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Нормами трудового законодательства установлено, что любой работник вправе отказаться от командировки, если в заключенном с ним трудовом договоре имеется условие об отсутствии командировок.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Воздержаться от командировки в силу закона могут: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- женщины, имеющие детей в возрасте до 3 лет;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- работники, имеющие детей-инвалидов;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- работники, которые осуществляют уход за больным членом семьи в соответствии с медицинским заключением.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Однако имеются категории работников, которых запрещается направлять в командировку, к ним относятся: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- беременные женщины;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- несовершеннолетние сотрудники, за исключением спортсменов и творческих работников;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 xml:space="preserve">- работники, заключившие ученический договор (если командировка не связана с ученичеством); 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- инвалиды (если такое ограничение указано в индивидуальной программе реабилитации).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В случае направления работника в служебную командировку, относящегося к одной из вышеперечисленных категорий, в том числе при наличии его отказа, ответственное лицо может быть привлечено к административной ответственности по ст. 5.27 КоАП РФ (нарушение трудового законодательства и иных нормативных правовых актов, содержащих нормы трудового права).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Если лицо не относится к категории работников, которых работодатель не вправе направить в командировку, то работодатель имеет законное право направить работника в служебную командировку.</w:t>
      </w:r>
    </w:p>
    <w:p w:rsidR="00506D0B" w:rsidRPr="004810A5" w:rsidRDefault="00506D0B" w:rsidP="00506D0B">
      <w:pPr>
        <w:ind w:firstLine="709"/>
        <w:jc w:val="center"/>
        <w:outlineLvl w:val="0"/>
        <w:rPr>
          <w:b/>
          <w:sz w:val="24"/>
          <w:szCs w:val="24"/>
        </w:rPr>
      </w:pPr>
      <w:r w:rsidRPr="004810A5">
        <w:rPr>
          <w:b/>
          <w:sz w:val="24"/>
          <w:szCs w:val="24"/>
        </w:rPr>
        <w:lastRenderedPageBreak/>
        <w:t>Варианты онлайн-мошенничества.</w:t>
      </w:r>
    </w:p>
    <w:p w:rsidR="00506D0B" w:rsidRPr="004810A5" w:rsidRDefault="00506D0B" w:rsidP="00506D0B">
      <w:pPr>
        <w:ind w:firstLine="709"/>
        <w:jc w:val="center"/>
        <w:outlineLvl w:val="0"/>
        <w:rPr>
          <w:b/>
          <w:sz w:val="24"/>
          <w:szCs w:val="24"/>
        </w:rPr>
      </w:pP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Типичные варианты мошенничества с банковскими картами онлайн: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1.</w:t>
      </w:r>
      <w:r w:rsidRPr="004810A5">
        <w:rPr>
          <w:sz w:val="24"/>
          <w:szCs w:val="24"/>
        </w:rPr>
        <w:tab/>
        <w:t>При продаже товара или покупке с рук мошенники – потенциальные покупатели или продавцы – просят не только номер карты, но и секретные данные. Этого делать ни в коем случае нельзя!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2.</w:t>
      </w:r>
      <w:r w:rsidRPr="004810A5">
        <w:rPr>
          <w:sz w:val="24"/>
          <w:szCs w:val="24"/>
        </w:rPr>
        <w:tab/>
        <w:t>Ваш друг в социальных сетях просит одолжить деньги или отправляет Вам странную ссылку. В таком случае свяжитесь с другом и уточните, действительно ли ему нужна помощь, а также узнайте о достоверности той информации, которую он направил.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3.</w:t>
      </w:r>
      <w:r w:rsidRPr="004810A5">
        <w:rPr>
          <w:sz w:val="24"/>
          <w:szCs w:val="24"/>
        </w:rPr>
        <w:tab/>
        <w:t>На Вашу электронную почту приходит письмо с информацией о выигрыше или с предложением работы, которую Вы не искали. В таком случае используйте спам-фильтры, чтобы не попасться на подобную уловку мошенников, а также внимательно изучайте то, что приходит на Вашу почту с незнакомых электронных адресов.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4.</w:t>
      </w:r>
      <w:r w:rsidRPr="004810A5">
        <w:rPr>
          <w:sz w:val="24"/>
          <w:szCs w:val="24"/>
        </w:rPr>
        <w:tab/>
        <w:t>Вы перешли на известный сайт, например, ГИБДД или ФНС, однако, заметили некие изменения, которые не замечали ранее – лишняя буква в строке браузера, измененный номер телефона для связи с той или иной службой. При переходе на тот или иной сайт/портал внимательно изучайте его содержание, а также добавьте в закладки браузера те сайты, которыми Вы часто пользуетесь.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Помните о том, что нельзя сообщать посторонним лицам CVV или CVC-коды, ПИН-код банковской карты, срок действия, пароли из банковских уведомлений.</w:t>
      </w:r>
    </w:p>
    <w:p w:rsidR="00506D0B" w:rsidRPr="004810A5" w:rsidRDefault="00506D0B" w:rsidP="00506D0B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В случае совершения в отношении Вас мошеннических действий сразу же сообщите об этом в правоохранительные органы.</w:t>
      </w:r>
    </w:p>
    <w:p w:rsidR="00506D0B" w:rsidRPr="004810A5" w:rsidRDefault="00506D0B" w:rsidP="00506D0B">
      <w:pPr>
        <w:jc w:val="center"/>
        <w:outlineLvl w:val="0"/>
        <w:rPr>
          <w:rFonts w:ascii="Calibri" w:eastAsia="Times New Roman" w:hAnsi="Calibri" w:cs="Times New Roman"/>
          <w:b/>
          <w:sz w:val="24"/>
          <w:szCs w:val="24"/>
        </w:rPr>
      </w:pPr>
      <w:r w:rsidRPr="004810A5">
        <w:rPr>
          <w:rFonts w:ascii="Calibri" w:eastAsia="Times New Roman" w:hAnsi="Calibri" w:cs="Times New Roman"/>
          <w:b/>
          <w:sz w:val="24"/>
          <w:szCs w:val="24"/>
        </w:rPr>
        <w:t>За нарушение гражданами правил пожарной безопасности установлена административная и уголовная ответственность.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t>В соответствии с Правилами пожарной безопасности в лесах, утвержденных Постановлением Правительства РФ от 07.10.2020 года № 1614, допускается разведение костров только в специально оборудованных для этого местах.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t>Запрещено бросать горящие спички, окурки, употреблять при охоте пыжи из горючих или тлеющих материалов, оставлять промасленные или пропитанные бензином, керосином или иными горючими веществами материалы (бумагу, ткань, паклю, вату и др.) в непредусмотренных специально для этого местах, заправлять горючим топливные баки двигателей внутреннего сгорания при работе двигателя, использовать машины с неисправной системой питания двигателя, а также курить или пользоваться открытым огнем вблизи машин, заправляемых горючим, выполнять работы с отрытым огнем на торфяниках.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t xml:space="preserve">В период пожароопасного сезона сжигание мусора разрешается производить только при отсутствии пожарной опасности в лесу по условиям погоды и под контролем ответственных лиц. Запрещается выжигание хвороста, лесной подстилки, сухой травы и других лесных горючих </w:t>
      </w:r>
      <w:r w:rsidRPr="004810A5">
        <w:rPr>
          <w:rFonts w:ascii="Calibri" w:eastAsia="Times New Roman" w:hAnsi="Calibri" w:cs="Times New Roman"/>
          <w:sz w:val="24"/>
          <w:szCs w:val="24"/>
        </w:rPr>
        <w:lastRenderedPageBreak/>
        <w:t>материалов и на земельных участках, непосредственно примыкающих к лесам, защитным и лесным насаждениям, в том числе вблизи железной дороги.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t>Кодекс Российской Федерации об административных правонарушениях (далее - КоАП РФ) предусматривает ответственность за нарушение требований пожарной безопасности (статья 20.4 КоАП РФ), за нарушение правил пожарной безопасности в лесах (статья 8.32 КоАП РФ), а также за нарушение требований пожарной безопасности на железнодорожном, морском, внутреннем водном или воздушном транспорте (статья 11. 16 КоАП РФ)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t>Так, часть 1 статьи 20.4 КоАП РФ предусматривает ответственность за нарушение требований пожарной безопасности и влечет назначение наказания в виде предупреждения или наложения административного штрафа на граждан в размере от двух тысяч до трех тысяч рублей; на должностных лиц - от шести тысяч до пятнадцати тысяч рублей; на юридических лиц - от ста пятидесяти тысяч до двухсот тысяч рублей.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t>Ответственность за нарушение требований пожарной безопасности на железнодорожном, морском, внутреннем водном или воздушном транспорте предусмотрена статьей 11.16 КоАП РФ. Нарушение данных требований влечет наложение административного штрафа на граждан в размере от одной тысячи пятисот до двух тысяч рублей; на должностных лиц - от четырех тысяч до пяти тысяч рублей.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t>Уголовная ответственность предусмотрена за нарушение требований пожарной безопасности, совершенное лицом, на котором лежала обязанность по их соблюдению, если это повлекло по неосторожности причинение тяжкого вреда здоровью человека. Санкция ч. 1 ст. 219 УК РФ предусматривает максимальное наказание в виде лишения свободы на срок до трех лет с лишением права занимать определенные должности или заниматься определенной деятельностью.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t>Статья 261 УК РФ предусматривает уголовную ответственность за уничтожение или повреждение лесных насаждений как в результате неосторожного обращения с огнем или иными источниками повышенной опасности, так и путем умышленного поджога, санкцией статьи предусмотрено наказание в виде штрафа в размере от трехсот тысяч до пятисот тысяч рублей, либо в виде обязательных работ, либо лишения свободы на срок до четырех лет.</w:t>
      </w:r>
    </w:p>
    <w:p w:rsidR="00506D0B" w:rsidRPr="004810A5" w:rsidRDefault="00506D0B" w:rsidP="00506D0B">
      <w:pPr>
        <w:ind w:firstLine="709"/>
        <w:jc w:val="center"/>
        <w:outlineLvl w:val="0"/>
        <w:rPr>
          <w:rFonts w:ascii="Calibri" w:eastAsia="Times New Roman" w:hAnsi="Calibri" w:cs="Times New Roman"/>
          <w:b/>
          <w:sz w:val="24"/>
          <w:szCs w:val="24"/>
        </w:rPr>
      </w:pPr>
      <w:r w:rsidRPr="004810A5">
        <w:rPr>
          <w:rFonts w:ascii="Calibri" w:eastAsia="Times New Roman" w:hAnsi="Calibri" w:cs="Times New Roman"/>
          <w:b/>
          <w:sz w:val="24"/>
          <w:szCs w:val="24"/>
        </w:rPr>
        <w:t>«Возможно ли составить акт о некачественной услуге без управляющей организации?»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t>Порядок фиксации некачественных услуг закреплен в Правилах предоставления коммунальных услуг собственникам и пользователям помещений в многоквартирных домах и жилых домов, утв. постановлением Правительства от 06.05.2011 № 354 (раздел 10).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t>Требования к фиксации ненадлежащего содержания общедомового имущества установлены Правилами содержания общего имущества в многоквартирном доме, утв. постановлением Правительства от 13.08.2006 № 491 (далее – Правила № 491).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t>Акт является основанием для перерасчета размера платы за предоставление некачественной коммунальной услуги.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t>Для правильного самостоятельного составления акта о некачественной услуге необходимо следующее: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lastRenderedPageBreak/>
        <w:t>Во-первых, необходимо обязательно уведомить о некачественной услуге аварийно-диспетчерскую службу управляющей организации (исполнителя коммунальных услуг);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t>Во-вторых, согласовать с аварийно-диспетчерской службой время их прибытия;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t>В-третьих, убедиться, что представитель управляющей организации (исполнителя коммунальных услуг) не пришел в назначенное время. Необходимо позвать потребителя (жильца дома) и председателя многоквартирного дома;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t>В-четвертых, самостоятельно составить акт о некачественной услуге. В акте нужно отметить дату и время проверки, выявленные нарушения, методы выявления нарушений, выводы о дате и времени начала нарушения качества.</w:t>
      </w:r>
    </w:p>
    <w:p w:rsidR="00506D0B" w:rsidRPr="004810A5" w:rsidRDefault="00506D0B" w:rsidP="00506D0B">
      <w:pPr>
        <w:ind w:firstLine="709"/>
        <w:jc w:val="both"/>
        <w:outlineLvl w:val="0"/>
        <w:rPr>
          <w:rFonts w:ascii="Calibri" w:eastAsia="Times New Roman" w:hAnsi="Calibri" w:cs="Times New Roman"/>
          <w:sz w:val="24"/>
          <w:szCs w:val="24"/>
        </w:rPr>
      </w:pPr>
      <w:r w:rsidRPr="004810A5">
        <w:rPr>
          <w:rFonts w:ascii="Calibri" w:eastAsia="Times New Roman" w:hAnsi="Calibri" w:cs="Times New Roman"/>
          <w:sz w:val="24"/>
          <w:szCs w:val="24"/>
        </w:rPr>
        <w:t>Акт составляется по числу заинтересованных лиц, участвующих в проверке, один экземпляр акта остается у потребителя, второй экземпляр необходимо будет направить исполнителю услуги, остальные раздать, лицам, участвующим в фиксации нарушения.</w:t>
      </w:r>
    </w:p>
    <w:p w:rsidR="004810A5" w:rsidRPr="004810A5" w:rsidRDefault="004810A5" w:rsidP="004810A5">
      <w:pPr>
        <w:ind w:firstLine="709"/>
        <w:jc w:val="center"/>
        <w:outlineLvl w:val="0"/>
        <w:rPr>
          <w:b/>
          <w:sz w:val="24"/>
          <w:szCs w:val="24"/>
        </w:rPr>
      </w:pPr>
      <w:r w:rsidRPr="004810A5">
        <w:rPr>
          <w:b/>
          <w:sz w:val="24"/>
          <w:szCs w:val="24"/>
        </w:rPr>
        <w:t>«Для выпускников школ установлены дополнительные гарантии пенсионного обеспечения по случаю потери кормильца».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 xml:space="preserve">Федеральным законом от 01.05.2022 № 136-ФЗ внесены изменения в Федеральный закон «О страховых пенсиях» и статью 1 Федерального закона </w:t>
      </w:r>
      <w:r w:rsidRPr="004810A5">
        <w:rPr>
          <w:sz w:val="24"/>
          <w:szCs w:val="24"/>
        </w:rPr>
        <w:br/>
        <w:t>«О внесении изменений в отдельные законодательные акты Российской Федерации».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Законом сохранено право на получение пенсии по потере кормильца для нетрудоспособных членов семьи умершего кормильца (дети, братья, сестры и внуки), достигших возраста 18 лет, окончивших школу, на период до 1 сентября года, в котором завершено обучение.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При отсутствии документов (сведений), подтверждающих дальнейшее очное обучение такого лица по программам профобразования, выплата пенсии будет приостановлена на шесть месяцев начиная с 1 сентября года, в котором завершено школьное обучение.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Федеральный закон вступил в силу с 01.06.2022.</w:t>
      </w:r>
    </w:p>
    <w:p w:rsidR="004810A5" w:rsidRPr="004810A5" w:rsidRDefault="004810A5" w:rsidP="004810A5">
      <w:pPr>
        <w:ind w:firstLine="709"/>
        <w:jc w:val="center"/>
        <w:outlineLvl w:val="0"/>
        <w:rPr>
          <w:b/>
          <w:sz w:val="24"/>
          <w:szCs w:val="24"/>
        </w:rPr>
      </w:pPr>
      <w:r w:rsidRPr="004810A5">
        <w:rPr>
          <w:b/>
          <w:sz w:val="24"/>
          <w:szCs w:val="24"/>
        </w:rPr>
        <w:t>«Использование отпуска за первый год работы»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В соответствии со ст. 122 Трудового кодекса Российской Федерации право на использование отпуска за первый год работы возникает у работника по истечении шести месяцев его непрерывной работы у данного работодателя.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По соглашению сторон оплачиваемый отпуск работнику может быть предоставлен и до истечения шести месяцев.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До истечения шести месяцев непрерывной работы оплачиваемый отпуск по заявлению работника должен быть предоставлен: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- женщинам - перед отпуском по беременности и родам или непосредственно после него;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- работникам в возрасте до 18 лет;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- работникам, усыновившим ребенка (детей) в возрасте до 3-ех месяцев;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lastRenderedPageBreak/>
        <w:t>- в других случаях, предусмотренных федеральными законами.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 установленных у данного работодателя.</w:t>
      </w:r>
    </w:p>
    <w:p w:rsidR="004810A5" w:rsidRPr="004810A5" w:rsidRDefault="004810A5" w:rsidP="004810A5">
      <w:pPr>
        <w:ind w:firstLine="709"/>
        <w:jc w:val="center"/>
        <w:outlineLvl w:val="0"/>
        <w:rPr>
          <w:b/>
          <w:sz w:val="24"/>
          <w:szCs w:val="24"/>
        </w:rPr>
      </w:pPr>
      <w:r w:rsidRPr="004810A5">
        <w:rPr>
          <w:b/>
          <w:sz w:val="24"/>
          <w:szCs w:val="24"/>
        </w:rPr>
        <w:t>«Можно ли наркомана или лицо, злоупотребляющее алкоголем, лишить родительских прав?»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Если по заключению наркологического диспансера или иной медицинской организации родитель является хроническим алкоголиком или наркоманом, он в соответствии со статьей 69 Семейного кодекса РФ может быть лишен родительских прав. Лишение родительских прав по этому основанию может быть произведено независимо от признания ответчика ограниченно дееспособным.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Токсикомания при этом не является самостоятельным основанием для такого лишения.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Родители, страдающие бытовым пьянством, также могут быть лишены своих прав на основании систематического невыполнения родительских обязанностей.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При этом, в случае лишения родительских прав, родитель: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- лишается права лично воспитывать ребенка и общаться с ним;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- не может в дальнейшем получать содержание от своего совершеннолетнего ребенка;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- не может представлять интересы ребенка в качестве его законного представителя;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- лишается всех льгот, предоставляемых государством родителям: права на дополнительные отпуска, на предоставление отпуска по уходу за ребенком и т.п.;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- лишается права на получение всех государственных пособий, связанных с наличием детей: государственного пособия гражданам, имеющим детей, пособия по уходу за ребенком и т.п.;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Дела о лишении родительских прав рассматриваются с обязательным участием прокурора вне зависимости от того, им ли подан иск.</w:t>
      </w:r>
    </w:p>
    <w:p w:rsidR="004810A5" w:rsidRPr="004810A5" w:rsidRDefault="004810A5" w:rsidP="004810A5">
      <w:pPr>
        <w:ind w:firstLine="709"/>
        <w:jc w:val="center"/>
        <w:outlineLvl w:val="0"/>
        <w:rPr>
          <w:b/>
          <w:sz w:val="24"/>
          <w:szCs w:val="24"/>
        </w:rPr>
      </w:pPr>
      <w:r w:rsidRPr="004810A5">
        <w:rPr>
          <w:b/>
          <w:sz w:val="24"/>
          <w:szCs w:val="24"/>
        </w:rPr>
        <w:t>«Можно ли разделить материнский (семейный) капитал при разводе?»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 xml:space="preserve"> Согласно ст. 2 Федерального закона от 29.12.2006 № 256-ФЗ </w:t>
      </w:r>
      <w:r w:rsidRPr="004810A5">
        <w:rPr>
          <w:sz w:val="24"/>
          <w:szCs w:val="24"/>
        </w:rPr>
        <w:br/>
        <w:t>«О дополнительных мерах государственной поддержки семей, имеющих детей» материнский (семейный) капитал – это средства федерального бюджета, передаваемые в бюджет Пенсионного фонда России на реализацию дополнительных мер государственной поддержки.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Государственный сертификат на материнский (семейный) капитал является именным документом, подтверждающим право на дополнительные меры государственной поддержки, и принадлежит тому, на чье имя он выдан.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Материнский капитал, являясь государственной целевой выплатой, не относится к совместно нажитому имуществу, в связи с чем разделу между супругами не подлежит.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lastRenderedPageBreak/>
        <w:t>Вместе с тем в случае реализации средств материнского капитала на улучшение жилищных условий семьи в соответствии с ч. 4 ст. 10 Федерального закона № 256-ФЗ жилое помещение, приобретенное (построенное, реконструированное) с использованием средств (части средств) материнского (семейного) капитала, оформляется в общую собственность родителей и детей (в том числе первого, второго, третьего ребенка и последующих детей) с определением размера долей по соглашению.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В такой ситуации бывший супруг, в случае раздела имущества, вправе и далее осуществлять правомочия собственника в отношении зарегистрированной за ним доли в праве собственности на жилое помещение.</w:t>
      </w:r>
    </w:p>
    <w:p w:rsidR="004810A5" w:rsidRPr="004810A5" w:rsidRDefault="004810A5" w:rsidP="004810A5">
      <w:pPr>
        <w:ind w:firstLine="709"/>
        <w:jc w:val="both"/>
        <w:outlineLvl w:val="0"/>
        <w:rPr>
          <w:b/>
          <w:sz w:val="24"/>
          <w:szCs w:val="24"/>
        </w:rPr>
      </w:pPr>
      <w:r w:rsidRPr="004810A5">
        <w:rPr>
          <w:b/>
          <w:sz w:val="24"/>
          <w:szCs w:val="24"/>
        </w:rPr>
        <w:t xml:space="preserve">«Ответственность работодателя за задержку выдачи трудовой книжки» 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В соответствии со статьей 84.1 Трудового кодекса Российской Федерации в день прекращения трудового договора работодатель обязан выдать работнику трудовую книжку. Если работодатель формирует информацию о трудовой деятельности работника в электронном виде, то работодатель обязан предоставить работнику сведения о его трудовой деятельности.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Днем прекращения трудового договора является последний день работы работника, за исключением случаев, когда работник фактически не работал, но за ним в соответствии с законодательством сохранялось место работы (должность).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В случае, когда в день прекращения трудового договора выдать трудовую книжку работнику невозможно в связи с его отсутствием либо отказом от ее получения, работодатель обязан направить работнику уведомление о необходимости явиться за трудовой книжкой либо дать согласие на отправление ее по почте или направить работнику заказным письмом с уведомлением сведения о трудовой деятельности за период работы у данного работодателя на бумажном носителе, заверенные надлежащим образом.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Со дня направления указанного уведомления или письма работодатель освобождается от ответственности за задержку выдачи трудовой книжки или предоставления сведений о трудовой деятельности у данного работодателя.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По письменному обращению работника, не получившего трудовой книжки после увольнения, работодатель обязан выдать ее не позднее трех рабочих дней со дня обращения работника, а в случае, если на работника не ведется трудовая книжка, по обращению работника (в письменной форме или направленному в порядке, установленном работодателем, по адресу электронной почты работодателя), не получившего сведений о трудовой деятельности у данного работодателя после увольнения, работодатель обязан выдать их не позднее трех рабочих дней со дня обращения работника способом, указанным в его обращении (на бумажном носителе, заверенные надлежащим образом, или в форме электронного документа, подписанного усиленной квалифицированной электронной подписью (при ее наличии у работодателя).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За задержку выдачи трудовой книжки, предоставления сведений о трудовой деятельности, а также за иные нарушения трудового законодательства и нормативных правовых актов, содержащих нормы трудового права, предусмотрена административная ответственность на основании статьи 5.27 Кодекса Российской Федерации об административных правонарушениях (КоАП РФ).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lastRenderedPageBreak/>
        <w:t>Так, статьей 5.27 КоАП РФ предусмотрено за это правонарушение вынесение предупреждения или наложение административного штрафа на должностных лиц и лиц, осуществляющих предпринимательскую деятельность без образования юридического лица в размере от 1 тыс. до 5 тыс. рублей.; на юридических лиц - от 30 тыс. до 50 тыс. рублей.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Для лиц, уже ранее подвергнутых административному наказанию за аналогичное административное правонарушение предупреждения уже, не будет, а штрафы предусмотрены в повышенном размере (от 10 тыс. до 70 тыс. рублей).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Кроме этого, согласно статье 234 Трудового кодекса Российской Федерации, работодатель обязан возместить работнику, не полученный им заработок во всех случаях незаконного лишения его возможности трудиться.</w:t>
      </w:r>
    </w:p>
    <w:p w:rsidR="004810A5" w:rsidRPr="004810A5" w:rsidRDefault="004810A5" w:rsidP="004810A5">
      <w:pPr>
        <w:ind w:firstLine="709"/>
        <w:jc w:val="center"/>
        <w:outlineLvl w:val="0"/>
        <w:rPr>
          <w:b/>
          <w:sz w:val="24"/>
          <w:szCs w:val="24"/>
        </w:rPr>
      </w:pPr>
      <w:r w:rsidRPr="004810A5">
        <w:rPr>
          <w:b/>
          <w:sz w:val="24"/>
          <w:szCs w:val="24"/>
        </w:rPr>
        <w:t>«С 1 июля 2022 года сокращается срок оформления паспорта гражданина Российской Федерации».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Постановлением Правительства РФ от 15.07.2021 № 1205 «О внесении изменений в постановление Правительства РФ от 08.07.1997 года № 828 и о признании утратившими силу отдельных положений актов Правительства РФ» сокращен срок оформления паспорта гражданина Российской Федерации, который не должен превышать 5 рабочих дней со дня приема территориальным органом Министерства внутренних дел Российской Федерации документов от гражданина либо из многофункционального центра предоставления государственных и муниципальных услуг.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В настоящее время срок оформления паспорта гражданина Российской Федерации составляет 10 дней при условии подачи документов по месту жительства и 30 дней во всех остальных случаях.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Паспорт, подлежащий замене в связи с достижением гражданином 20-летнего и 45-летнего возраста, является действительным до оформления нового паспорта, но не более чем 90 дней после дня возникновения указанных обстоятельств.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Помимо вышеуказанных положений в постановлении правительства нашло отражение, что граждане, достигшие 14-летнего возраста вправе подать документы для оформления первого своего паспорта в течение 90 дней (в предыдущей редакции – 30 дней).</w:t>
      </w:r>
    </w:p>
    <w:p w:rsidR="004810A5" w:rsidRPr="004810A5" w:rsidRDefault="004810A5" w:rsidP="004810A5">
      <w:pPr>
        <w:ind w:firstLine="709"/>
        <w:jc w:val="both"/>
        <w:outlineLvl w:val="0"/>
        <w:rPr>
          <w:sz w:val="24"/>
          <w:szCs w:val="24"/>
        </w:rPr>
      </w:pPr>
      <w:r w:rsidRPr="004810A5">
        <w:rPr>
          <w:sz w:val="24"/>
          <w:szCs w:val="24"/>
        </w:rPr>
        <w:t>Постановление Правительства РФ от 15.07.2021 № 1205 вступит в действие с 1 июля 2022 года.</w:t>
      </w:r>
    </w:p>
    <w:p w:rsidR="00506D0B" w:rsidRPr="000C7F69" w:rsidRDefault="00506D0B" w:rsidP="00506D0B">
      <w:pPr>
        <w:jc w:val="center"/>
        <w:outlineLvl w:val="0"/>
        <w:rPr>
          <w:rFonts w:ascii="Calibri" w:eastAsia="Times New Roman" w:hAnsi="Calibri" w:cs="Times New Roman"/>
          <w:sz w:val="28"/>
          <w:szCs w:val="28"/>
        </w:rPr>
      </w:pPr>
    </w:p>
    <w:p w:rsidR="00506D0B" w:rsidRDefault="00506D0B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506D0B" w:rsidRDefault="00506D0B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A62BB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>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63EB" w:rsidRDefault="000D63EB" w:rsidP="005B20D8">
      <w:pPr>
        <w:spacing w:after="0" w:line="240" w:lineRule="auto"/>
      </w:pPr>
      <w:r>
        <w:separator/>
      </w:r>
    </w:p>
  </w:endnote>
  <w:endnote w:type="continuationSeparator" w:id="1">
    <w:p w:rsidR="000D63EB" w:rsidRDefault="000D63EB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63EB" w:rsidRDefault="000D63EB" w:rsidP="005B20D8">
      <w:pPr>
        <w:spacing w:after="0" w:line="240" w:lineRule="auto"/>
      </w:pPr>
      <w:r>
        <w:separator/>
      </w:r>
    </w:p>
  </w:footnote>
  <w:footnote w:type="continuationSeparator" w:id="1">
    <w:p w:rsidR="000D63EB" w:rsidRDefault="000D63EB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314CA9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0D63EB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0D63EB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A2767"/>
    <w:rsid w:val="000B3AD5"/>
    <w:rsid w:val="000C4908"/>
    <w:rsid w:val="000C62C9"/>
    <w:rsid w:val="000D2159"/>
    <w:rsid w:val="000D63EB"/>
    <w:rsid w:val="00110CBA"/>
    <w:rsid w:val="00135759"/>
    <w:rsid w:val="00163B1F"/>
    <w:rsid w:val="001762A5"/>
    <w:rsid w:val="001C5F7F"/>
    <w:rsid w:val="001D2E81"/>
    <w:rsid w:val="001D68A1"/>
    <w:rsid w:val="001E103A"/>
    <w:rsid w:val="002057D7"/>
    <w:rsid w:val="00243D84"/>
    <w:rsid w:val="002A11A1"/>
    <w:rsid w:val="002B2DE3"/>
    <w:rsid w:val="002F5361"/>
    <w:rsid w:val="00314CA9"/>
    <w:rsid w:val="003309D4"/>
    <w:rsid w:val="00337771"/>
    <w:rsid w:val="003778BB"/>
    <w:rsid w:val="0039109E"/>
    <w:rsid w:val="00396378"/>
    <w:rsid w:val="003D436B"/>
    <w:rsid w:val="003E3606"/>
    <w:rsid w:val="004355EB"/>
    <w:rsid w:val="00443F9F"/>
    <w:rsid w:val="004810A5"/>
    <w:rsid w:val="0048639B"/>
    <w:rsid w:val="004916EB"/>
    <w:rsid w:val="00506D0B"/>
    <w:rsid w:val="00514FA4"/>
    <w:rsid w:val="00565263"/>
    <w:rsid w:val="005A769D"/>
    <w:rsid w:val="005B20D8"/>
    <w:rsid w:val="00612D9C"/>
    <w:rsid w:val="00613F02"/>
    <w:rsid w:val="0069488E"/>
    <w:rsid w:val="007345D3"/>
    <w:rsid w:val="00734955"/>
    <w:rsid w:val="00755842"/>
    <w:rsid w:val="008567E6"/>
    <w:rsid w:val="00884713"/>
    <w:rsid w:val="008C7D90"/>
    <w:rsid w:val="00906496"/>
    <w:rsid w:val="009F64D7"/>
    <w:rsid w:val="00A136CA"/>
    <w:rsid w:val="00A62BB9"/>
    <w:rsid w:val="00AA6E72"/>
    <w:rsid w:val="00AC7E84"/>
    <w:rsid w:val="00B34E37"/>
    <w:rsid w:val="00B778F7"/>
    <w:rsid w:val="00BA10EE"/>
    <w:rsid w:val="00BF5C51"/>
    <w:rsid w:val="00BF7699"/>
    <w:rsid w:val="00C123D6"/>
    <w:rsid w:val="00C27C09"/>
    <w:rsid w:val="00C92AC5"/>
    <w:rsid w:val="00CA567B"/>
    <w:rsid w:val="00DE7513"/>
    <w:rsid w:val="00EF2F14"/>
    <w:rsid w:val="00F03A06"/>
    <w:rsid w:val="00F142C6"/>
    <w:rsid w:val="00F16C07"/>
    <w:rsid w:val="00FB42C7"/>
    <w:rsid w:val="00FC4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2660</Words>
  <Characters>15164</Characters>
  <Application>Microsoft Office Word</Application>
  <DocSecurity>0</DocSecurity>
  <Lines>126</Lines>
  <Paragraphs>35</Paragraphs>
  <ScaleCrop>false</ScaleCrop>
  <Company/>
  <LinksUpToDate>false</LinksUpToDate>
  <CharactersWithSpaces>17789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30</cp:revision>
  <dcterms:created xsi:type="dcterms:W3CDTF">2022-01-13T09:30:00Z</dcterms:created>
  <dcterms:modified xsi:type="dcterms:W3CDTF">2022-06-27T06:31:00Z</dcterms:modified>
</cp:coreProperties>
</file>