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tabs>
          <w:tab w:val="left" w:pos="1785" w:leader="none"/>
          <w:tab w:val="center" w:pos="5040" w:leader="none"/>
        </w:tabs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144"/>
          <w:shd w:fill="auto" w:val="clear"/>
        </w:rPr>
      </w:pPr>
    </w:p>
    <w:p>
      <w:pPr>
        <w:tabs>
          <w:tab w:val="left" w:pos="1785" w:leader="none"/>
          <w:tab w:val="center" w:pos="5040" w:leader="none"/>
        </w:tabs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14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14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144"/>
          <w:shd w:fill="auto" w:val="clear"/>
        </w:rPr>
        <w:t xml:space="preserve">ВЕСТИ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144"/>
          <w:shd w:fill="auto" w:val="clear"/>
        </w:rPr>
        <w:t xml:space="preserve">»</w:t>
      </w:r>
    </w:p>
    <w:p>
      <w:pPr>
        <w:tabs>
          <w:tab w:val="left" w:pos="1785" w:leader="none"/>
          <w:tab w:val="center" w:pos="5040" w:leader="none"/>
        </w:tabs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96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6"/>
          <w:shd w:fill="auto" w:val="clear"/>
        </w:rPr>
        <w:t xml:space="preserve">Газета Апраксинского сельского поселения Чамзинского муниципального района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6"/>
          <w:shd w:fill="auto" w:val="clear"/>
        </w:rPr>
        <w:t xml:space="preserve">Республики Мордовия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6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6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6"/>
          <w:shd w:fill="auto" w:val="clear"/>
        </w:rPr>
        <w:t xml:space="preserve">№  8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56"/>
          <w:shd w:fill="auto" w:val="clear"/>
        </w:rPr>
      </w:pPr>
    </w:p>
    <w:p>
      <w:pPr>
        <w:tabs>
          <w:tab w:val="left" w:pos="1785" w:leader="none"/>
          <w:tab w:val="center" w:pos="5040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6"/>
          <w:shd w:fill="auto" w:val="clear"/>
        </w:rPr>
      </w:pPr>
    </w:p>
    <w:p>
      <w:pPr>
        <w:tabs>
          <w:tab w:val="left" w:pos="1785" w:leader="none"/>
          <w:tab w:val="center" w:pos="5040" w:leader="none"/>
        </w:tabs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6"/>
          <w:shd w:fill="auto" w:val="clear"/>
        </w:rPr>
      </w:pPr>
    </w:p>
    <w:p>
      <w:pPr>
        <w:tabs>
          <w:tab w:val="left" w:pos="1785" w:leader="none"/>
          <w:tab w:val="center" w:pos="5040" w:leader="none"/>
        </w:tabs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6"/>
          <w:shd w:fill="auto" w:val="clear"/>
        </w:rPr>
        <w:t xml:space="preserve">Пятница                    24.06.2022</w:t>
      </w:r>
    </w:p>
    <w:p>
      <w:pPr>
        <w:tabs>
          <w:tab w:val="left" w:pos="1785" w:leader="none"/>
          <w:tab w:val="center" w:pos="5040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32"/>
          <w:shd w:fill="auto" w:val="clear"/>
        </w:rPr>
      </w:pPr>
    </w:p>
    <w:p>
      <w:pPr>
        <w:widowControl w:val="false"/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«В каких случаях работник может отказаться от служебной командировки?»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32"/>
          <w:shd w:fill="auto" w:val="clear"/>
        </w:rPr>
      </w:pPr>
    </w:p>
    <w:p>
      <w:pPr>
        <w:widowControl w:val="fals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widowControl w:val="false"/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«В каких случаях работник может отказаться от служебной командировки?»</w:t>
      </w:r>
    </w:p>
    <w:p>
      <w:pPr>
        <w:widowControl w:val="false"/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widowControl w:val="false"/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Особенности направления работников в служебные командировки установлены Постановлением Правительства РФ от 13.10.2008 № 749, согласно которому в командировки направляются работники, состоящие в трудовых отношениях с работодателем.</w:t>
      </w:r>
    </w:p>
    <w:p>
      <w:pPr>
        <w:widowControl w:val="false"/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Нормами трудового законодательства установлено, что любой работник вправе отказаться от командировки, если в заключенном с ним трудовом договоре имеется условие об отсутствии командировок.</w:t>
      </w:r>
    </w:p>
    <w:p>
      <w:pPr>
        <w:widowControl w:val="false"/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Воздержаться от командировки в силу закона могут:</w:t>
      </w:r>
    </w:p>
    <w:p>
      <w:pPr>
        <w:widowControl w:val="false"/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женщины, имеющие детей в возрасте до 3 лет;</w:t>
      </w:r>
    </w:p>
    <w:p>
      <w:pPr>
        <w:widowControl w:val="false"/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работники, имеющие детей-инвалидов;</w:t>
      </w:r>
    </w:p>
    <w:p>
      <w:pPr>
        <w:widowControl w:val="false"/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работники, которые осуществляют уход за больным членом семьи в соответствии с медицинским заключением.</w:t>
      </w:r>
    </w:p>
    <w:p>
      <w:pPr>
        <w:widowControl w:val="false"/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Однако имеются категории работников, которых запрещается направлять в командировку, к ним относятся:</w:t>
      </w:r>
    </w:p>
    <w:p>
      <w:pPr>
        <w:widowControl w:val="false"/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беременные женщины;</w:t>
      </w:r>
    </w:p>
    <w:p>
      <w:pPr>
        <w:widowControl w:val="false"/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несовершеннолетние сотрудники, за исключением спортсменов и творческих работников;</w:t>
      </w:r>
    </w:p>
    <w:p>
      <w:pPr>
        <w:widowControl w:val="false"/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работники, заключившие ученический договор (если командировка не связана с ученичеством); </w:t>
      </w:r>
    </w:p>
    <w:p>
      <w:pPr>
        <w:widowControl w:val="false"/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инвалиды (если такое ограничение указано в индивидуальной программе реабилитации).</w:t>
      </w:r>
    </w:p>
    <w:p>
      <w:pPr>
        <w:widowControl w:val="false"/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случае направления работника в служебную командировку, относящегося к одной из вышеперечисленных категорий, в том числе при наличии его отказа, ответственное лицо может быть привлечено к административной ответственности по ст. 5.27 КоАП РФ (нарушение трудового законодательства и иных нормативных правовых актов, содержащих нормы трудового права).</w:t>
      </w:r>
    </w:p>
    <w:p>
      <w:pPr>
        <w:widowControl w:val="false"/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Если лицо не относится к категории работников, которых работодатель не вправе направить в командировку, то работодатель имеет законное право направить работника в служебную командировку.</w:t>
      </w:r>
    </w:p>
    <w:p>
      <w:pPr>
        <w:widowControl w:val="fals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 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