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АДМИНИСТРАЦИЯ АПРАКСИНСКОГО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СЕЛЬСКОГО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ПОСЕЛЕНИЯ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ЧАМЗИНСКОГО МУНИЦИПАЛЬНОГО РАЙОНА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ПОСТАНОВЛЕНИЕ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   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01.02.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2022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г.</w:t>
        <w:tab/>
        <w:tab/>
        <w:tab/>
        <w:tab/>
        <w:t xml:space="preserve">   </w:t>
        <w:tab/>
        <w:tab/>
        <w:tab/>
        <w:tab/>
        <w:tab/>
        <w:tab/>
        <w:tab/>
        <w:t xml:space="preserve">        №  9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     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5953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Об утверждении П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рограммы профилактики рисков причинения вреда (ущерба) охраняемым законом ценностям в области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муниципального контроля</w:t>
      </w:r>
      <w:r>
        <w:rPr>
          <w:rFonts w:ascii="Times New Roman" w:hAnsi="Times New Roman" w:cs="Times New Roman" w:eastAsia="Times New Roman"/>
          <w:color w:val="000000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 сфере благоустройства на территории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Апраксинского сельского</w:t>
      </w:r>
    </w:p>
    <w:p>
      <w:pPr>
        <w:spacing w:before="0" w:after="0" w:line="240"/>
        <w:ind w:right="5953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поселения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на 2022 год</w:t>
      </w:r>
    </w:p>
    <w:p>
      <w:pPr>
        <w:spacing w:before="0" w:after="0" w:line="240"/>
        <w:ind w:right="5953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 соответствии со статьей 44 Федерального закона от 31 июля 2020 года        № 248-ФЗ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 государственном контроле (надзоре) и муниципальном контроле 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постановлением Правительства Российской Федерации     от 25.06.2021 № 990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Администрация   Апраксинского сельского поселения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                                               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                                                  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ПОСТАНОВЛЯЕТ: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Утвердить П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рограмму профилактики рисков причинения вреда (ущерба) охраняемым законом ценностям в области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муниципального контроля</w:t>
      </w:r>
      <w:r>
        <w:rPr>
          <w:rFonts w:ascii="Times New Roman" w:hAnsi="Times New Roman" w:cs="Times New Roman" w:eastAsia="Times New Roman"/>
          <w:color w:val="000000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 сфере благоустройства на территории Апраксинского сельского поселения на 2022 год согласно 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приложению.</w:t>
      </w:r>
    </w:p>
    <w:p>
      <w:pPr>
        <w:tabs>
          <w:tab w:val="left" w:pos="1200" w:leader="none"/>
        </w:tabs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Настоящее Постановление вступает в силу со дня его официального опубликования. </w:t>
      </w:r>
    </w:p>
    <w:p>
      <w:pPr>
        <w:tabs>
          <w:tab w:val="left" w:pos="1000" w:leader="none"/>
          <w:tab w:val="left" w:pos="2552" w:leader="none"/>
        </w:tabs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tabs>
          <w:tab w:val="left" w:pos="1000" w:leader="none"/>
          <w:tab w:val="left" w:pos="2552" w:leader="none"/>
        </w:tabs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Обеспечить размещение настоящего Постановления на официальном сайте Администрации  Апраксинского сельского поселения в информационно - коммуникационной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сети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Интернет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Глава  администрации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Апраксинского сельского поселения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Чамзинского муниципального района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Республики Мордовия                                                                              Т.В.Колдаева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200" w:leader="none"/>
        </w:tabs>
        <w:spacing w:before="0" w:after="0" w:line="240"/>
        <w:ind w:right="0" w:left="4536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Приложение</w:t>
      </w:r>
    </w:p>
    <w:p>
      <w:pPr>
        <w:spacing w:before="0" w:after="0" w:line="240"/>
        <w:ind w:right="0" w:left="4536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к постановлению администрации </w:t>
      </w:r>
    </w:p>
    <w:p>
      <w:pPr>
        <w:spacing w:before="0" w:after="0" w:line="240"/>
        <w:ind w:right="0" w:left="4536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Апраксинского сельского поселения</w:t>
      </w:r>
    </w:p>
    <w:p>
      <w:pPr>
        <w:tabs>
          <w:tab w:val="left" w:pos="200" w:leader="none"/>
        </w:tabs>
        <w:spacing w:before="0" w:after="0" w:line="240"/>
        <w:ind w:right="0" w:left="4536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от 01.02.2022 № 9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рограмма профилактики рисков причинения вреда (ущерба) охраняемым законом ценностям в области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 муниципального контроля</w:t>
      </w:r>
      <w:r>
        <w:rPr>
          <w:rFonts w:ascii="Times New Roman" w:hAnsi="Times New Roman" w:cs="Times New Roman" w:eastAsia="Times New Roman"/>
          <w:b/>
          <w:color w:val="000000"/>
          <w:spacing w:val="-6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в сфере благоустройства на территории Апраксинского сельского поселения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на 2022 год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  <w:vertAlign w:val="superscript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709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рисков причинения вреда (ущерба) охраняемым законом ценностям в области муниципального контроля в сфере благоустройства на территории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Апраксинского сельского поселения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на 2022 год (далее также – Программа профилактики).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1.1.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Анализ текущего состояния осуществления вида контроля.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 принятием Федерального закона от 11 июня 2021 года № 170-ФЗ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 внесении изменений в отдельные законодательные акты Российской Федерации в связи с принятием Федерального закона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 государственном контроле (надзоре) и муниципальном контроле 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далее – Федеральный закон    № 170-ФЗ) к предмету муниципального контроля</w:t>
      </w:r>
      <w:r>
        <w:rPr>
          <w:rFonts w:ascii="Times New Roman" w:hAnsi="Times New Roman" w:cs="Times New Roman" w:eastAsia="Times New Roman"/>
          <w:color w:val="000000"/>
          <w:spacing w:val="-6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 сфере благоустройства было отнесено соблюдение юридическими лицами, индивидуальными предпринимателями, гражданами (далее – контролируемые лица) Правил благоустройства территории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Апраксинского сельского поселения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(далее – Правила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  <w:vertAlign w:val="superscript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  <w:vertAlign w:val="superscript"/>
        </w:rPr>
        <w:t xml:space="preserve">          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благоустройства),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До принятия Федерального закона № 170-ФЗ контроль в сфере благоустройства не осуществлялся на системной основе в соответствии с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Федеральным законом от 26 декабря 2008 года № 294-ФЗ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Контроль за соблюдением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Правил благоустройства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  <w:vertAlign w:val="superscript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осуществлялся исключительно в соответствии с законодательством об административных правонарушениях на предмет выявления признаков административных правонарушений в сфере благоустройства.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 ряде случаев лица, виновные в нарушении Правил благоустройства, были привлечены к административной ответственности.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1.2.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Описание текущего развития профилактической деятельности контрольного органа.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  <w:vertAlign w:val="superscript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Профилактическая деятельность в соответствии с Федеральным законом от 26 декабря 2008 года № 294-ФЗ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Администрацией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Апраксинского сельского поселения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00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далее также – Администрация или контрольный орган) на системной основе не осуществлялась.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1.3.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 проблемам, на решение которых направлена Программа профилактики, относятся случаи:</w:t>
      </w:r>
    </w:p>
    <w:p>
      <w:pPr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1)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ненадлежащего содержания прилегающих территорий;</w:t>
      </w:r>
    </w:p>
    <w:p>
      <w:pPr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2)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несвоевременной очистки кровель зданий, сооружений от снега, наледи и сосулек; </w:t>
      </w:r>
    </w:p>
    <w:p>
      <w:pPr>
        <w:tabs>
          <w:tab w:val="left" w:pos="1200" w:leader="none"/>
        </w:tabs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3)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складирования твердых коммунальных отходов вне выделенных для такого складирования мест;</w:t>
      </w:r>
    </w:p>
    <w:p>
      <w:pPr>
        <w:tabs>
          <w:tab w:val="left" w:pos="1200" w:leader="none"/>
        </w:tabs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4)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выгула животных 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выпаса сельскохозяйственных животных и птиц на территориях общего пользования.</w:t>
      </w:r>
    </w:p>
    <w:p>
      <w:pPr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Наиболее распространенными причинами перечисленных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 проведения мероприятий, направленных на создание комфортных условий проживания и сохранность окружающей среды.</w:t>
      </w:r>
    </w:p>
    <w:p>
      <w:pPr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 ряде случаев у граждан отсутствует представление о размерах административных штрафов, подлежащих уплате в случае нарушения Правил благоустройства.</w:t>
      </w:r>
    </w:p>
    <w:p>
      <w:pPr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Мероприятия Программы профилактики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будут способствовать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способами.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Цели и задачи реализации Программы профилактики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2.1.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Целями профилактики рисков причинения вреда (ущерба) охраняемым законом ценностям являются: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1)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стимулирование добросовестного соблюдения обязательных требований всеми контролируемыми лицами;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2)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3)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2.2.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Для достижения целей профилактики рисков причинения вреда (ущерба) охраняемым законом ценностям выполняются следующие задачи: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1)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анализ выявленных в результате проведения муниципального контроля</w:t>
      </w:r>
      <w:r>
        <w:rPr>
          <w:rFonts w:ascii="Times New Roman" w:hAnsi="Times New Roman" w:cs="Times New Roman" w:eastAsia="Times New Roman"/>
          <w:color w:val="000000"/>
          <w:spacing w:val="-6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 сфере благоустройства нарушений обязательных требований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;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2)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оценка состояния подконтрольной среды (оценка возможной угрозы причинения вреда жизни, здоровью граждан) и установление зависимости видов и интенсивности профилактических мероприятий с учетом состояния подконтрольной среды;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3)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организация и проведение профилактических мероприятий с учетом состояния подконтрольной среды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и анализа выявленных в результате проведения муниципального контроля</w:t>
      </w:r>
      <w:r>
        <w:rPr>
          <w:rFonts w:ascii="Times New Roman" w:hAnsi="Times New Roman" w:cs="Times New Roman" w:eastAsia="Times New Roman"/>
          <w:color w:val="000000"/>
          <w:spacing w:val="-6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 сфере благоустройства нарушений обязательных требований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22272F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3.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Перечень профилактических мероприятий,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сроки (периодичность) их проведения</w:t>
      </w:r>
    </w:p>
    <w:p>
      <w:pPr>
        <w:spacing w:before="0" w:after="0" w:line="240"/>
        <w:ind w:right="0" w:left="0" w:firstLine="709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3.1.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Перечень профилактических мероприятий, сроки (периодичность) их проведения представлены в таблице.</w:t>
      </w:r>
    </w:p>
    <w:p>
      <w:pPr>
        <w:spacing w:before="0" w:after="0" w:line="240"/>
        <w:ind w:right="0" w:left="0" w:firstLine="709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tbl>
      <w:tblPr/>
      <w:tblGrid>
        <w:gridCol w:w="490"/>
        <w:gridCol w:w="2646"/>
        <w:gridCol w:w="3122"/>
        <w:gridCol w:w="1990"/>
        <w:gridCol w:w="2407"/>
      </w:tblGrid>
      <w:tr>
        <w:trPr>
          <w:trHeight w:val="1" w:hRule="atLeast"/>
          <w:jc w:val="left"/>
        </w:trPr>
        <w:tc>
          <w:tcPr>
            <w:tcW w:w="49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№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п/п</w:t>
            </w:r>
          </w:p>
        </w:tc>
        <w:tc>
          <w:tcPr>
            <w:tcW w:w="2646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Вид мероприятия</w:t>
            </w:r>
          </w:p>
        </w:tc>
        <w:tc>
          <w:tcPr>
            <w:tcW w:w="312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Содержание мероприятия</w:t>
            </w:r>
          </w:p>
        </w:tc>
        <w:tc>
          <w:tcPr>
            <w:tcW w:w="199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Срок реализации мероприятия</w:t>
            </w:r>
          </w:p>
        </w:tc>
        <w:tc>
          <w:tcPr>
            <w:tcW w:w="240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Ответственный за реализацию мероприятия исполнитель</w:t>
            </w:r>
          </w:p>
        </w:tc>
      </w:tr>
      <w:tr>
        <w:trPr>
          <w:trHeight w:val="1" w:hRule="atLeast"/>
          <w:jc w:val="left"/>
        </w:trPr>
        <w:tc>
          <w:tcPr>
            <w:tcW w:w="490" w:type="dxa"/>
            <w:vMerge w:val="restart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646" w:type="dxa"/>
            <w:vMerge w:val="restart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Информирование контролируемых и иных лиц по вопросам соблюдения обязательных требований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  <w:tc>
          <w:tcPr>
            <w:tcW w:w="312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1.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Размещение сведений по вопросам соблюдения обязательных требований на официальном сайте администрации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  <w:tc>
          <w:tcPr>
            <w:tcW w:w="199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Ежегодно, 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декабрь</w:t>
            </w:r>
          </w:p>
        </w:tc>
        <w:tc>
          <w:tcPr>
            <w:tcW w:w="240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Администрация Апраксинского сельского поселения,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Глава администрации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90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46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2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2.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Размещение сведений по вопросам соблюдения обязательных требований в средствах массовой информации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  <w:tc>
          <w:tcPr>
            <w:tcW w:w="199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Ежеквартально</w:t>
            </w:r>
          </w:p>
        </w:tc>
        <w:tc>
          <w:tcPr>
            <w:tcW w:w="240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Администрация Апраксинского сельского поселения,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Глава администрации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90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46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2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3.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Размещение сведений по вопросам соблюдения обязательных требований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 в личных кабинетах контролируемых лиц в государственных информационных системах (при их наличии)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  <w:tc>
          <w:tcPr>
            <w:tcW w:w="199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Ежегодно, 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декабрь</w:t>
            </w:r>
          </w:p>
        </w:tc>
        <w:tc>
          <w:tcPr>
            <w:tcW w:w="240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Администрация Апраксинского сельского поселения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,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  Глава администрации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90" w:type="dxa"/>
            <w:vMerge w:val="restart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2646" w:type="dxa"/>
            <w:vMerge w:val="restart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Обобщение практики осуществления муниципального контроля</w:t>
            </w:r>
            <w:r>
              <w:rPr>
                <w:rFonts w:ascii="Times New Roman" w:hAnsi="Times New Roman" w:cs="Times New Roman" w:eastAsia="Times New Roman"/>
                <w:color w:val="000000"/>
                <w:spacing w:val="-6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 сфере благоустройства посредством сбора и анализа данных о проведенных контрольных мероприятиях (контрольных действиях) и их результатах, в том числе анализа выявленных в результате проведения муниципального контроля</w:t>
            </w:r>
            <w:r>
              <w:rPr>
                <w:rFonts w:ascii="Times New Roman" w:hAnsi="Times New Roman" w:cs="Times New Roman" w:eastAsia="Times New Roman"/>
                <w:color w:val="000000"/>
                <w:spacing w:val="-6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 сфере благоустройства нарушений обязательных требований контролируемыми лицами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position w:val="0"/>
              </w:rPr>
            </w:pPr>
          </w:p>
        </w:tc>
        <w:tc>
          <w:tcPr>
            <w:tcW w:w="312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Подготовка доклада о правоприменительной практике</w:t>
            </w:r>
          </w:p>
        </w:tc>
        <w:tc>
          <w:tcPr>
            <w:tcW w:w="199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До 1 июня 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2023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года</w:t>
            </w:r>
          </w:p>
        </w:tc>
        <w:tc>
          <w:tcPr>
            <w:tcW w:w="240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Администрация Апраксинского сельского поселения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,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 Глава администрации</w:t>
            </w:r>
          </w:p>
        </w:tc>
      </w:tr>
      <w:tr>
        <w:trPr>
          <w:trHeight w:val="1" w:hRule="atLeast"/>
          <w:jc w:val="left"/>
        </w:trPr>
        <w:tc>
          <w:tcPr>
            <w:tcW w:w="490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46" w:type="dxa"/>
            <w:vMerge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2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Размещение доклада о правоприменительной практике на официальном сайте Администрации </w:t>
            </w:r>
          </w:p>
        </w:tc>
        <w:tc>
          <w:tcPr>
            <w:tcW w:w="199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До 1 июля 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2023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года</w:t>
            </w:r>
          </w:p>
        </w:tc>
        <w:tc>
          <w:tcPr>
            <w:tcW w:w="240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Администрация Апраксинского сельского поселения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,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 Глава администрации </w:t>
            </w:r>
          </w:p>
        </w:tc>
      </w:tr>
      <w:tr>
        <w:trPr>
          <w:trHeight w:val="1" w:hRule="atLeast"/>
          <w:jc w:val="left"/>
        </w:trPr>
        <w:tc>
          <w:tcPr>
            <w:tcW w:w="49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2646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Объявление контролируемым лицам предостережений о недопустимости нарушения обязательных требований и предложений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 принять меры по обеспечению соблюдения обязательных требований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 в случае наличия у Администрации сведений о готовящихся нарушениях обязательных требований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или признаках нарушений обязательных требований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  <w:tc>
          <w:tcPr>
            <w:tcW w:w="312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Подготовка и объявление контролируемым лицам предостережений</w:t>
            </w:r>
          </w:p>
        </w:tc>
        <w:tc>
          <w:tcPr>
            <w:tcW w:w="199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По мере выявления готовящихся нарушений обязательных требований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или признаков нарушений обязательных требований,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не позднее 30 дней со дня получения администрацией указанных сведений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  <w:tc>
          <w:tcPr>
            <w:tcW w:w="240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Администрация Апраксинского сельского поселения Глава администрации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90" w:type="dxa"/>
            <w:vMerge w:val="restart"/>
            <w:tcBorders>
              <w:top w:val="single" w:color="000000" w:sz="6"/>
              <w:left w:val="single" w:color="000000" w:sz="6"/>
              <w:bottom w:val="single" w:color="000000" w:sz="0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2646" w:type="dxa"/>
            <w:vMerge w:val="restart"/>
            <w:tcBorders>
              <w:top w:val="single" w:color="000000" w:sz="6"/>
              <w:left w:val="single" w:color="000000" w:sz="6"/>
              <w:bottom w:val="single" w:color="000000" w:sz="0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Консультирование контролируемых лиц в устной или письменной форме по вопросам муниципального контроля</w:t>
            </w:r>
            <w:r>
              <w:rPr>
                <w:rFonts w:ascii="Times New Roman" w:hAnsi="Times New Roman" w:cs="Times New Roman" w:eastAsia="Times New Roman"/>
                <w:color w:val="000000"/>
                <w:spacing w:val="-6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 сфере благоустройства: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организация и осуществление контроля в сфере благоустройства;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порядок осуществления контрольных мероприятий;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порядок обжалования действий (бездействия) должностных лиц, уполномоченных осуществлять муниципальный контроль;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position w:val="0"/>
              </w:rPr>
            </w:pPr>
          </w:p>
        </w:tc>
        <w:tc>
          <w:tcPr>
            <w:tcW w:w="312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1.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Консультирование контролируемых лиц в устной форме по телефону, по видео-конференц-связи и на личном приеме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  <w:tc>
          <w:tcPr>
            <w:tcW w:w="199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При обращении лица, нуждающегося в консультировании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  <w:tc>
          <w:tcPr>
            <w:tcW w:w="240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Администрация Апраксинского сельского поселения Глава администрации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90" w:type="dxa"/>
            <w:vMerge/>
            <w:tcBorders>
              <w:top w:val="single" w:color="000000" w:sz="6"/>
              <w:left w:val="single" w:color="000000" w:sz="6"/>
              <w:bottom w:val="single" w:color="000000" w:sz="0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46" w:type="dxa"/>
            <w:vMerge/>
            <w:tcBorders>
              <w:top w:val="single" w:color="000000" w:sz="6"/>
              <w:left w:val="single" w:color="000000" w:sz="6"/>
              <w:bottom w:val="single" w:color="000000" w:sz="0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2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2.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Консультирование контролируемых лиц в письменной форме </w:t>
            </w:r>
          </w:p>
        </w:tc>
        <w:tc>
          <w:tcPr>
            <w:tcW w:w="199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При обращении лица, нуждающегося в консультировании, в течение 30 дней со дня регистрации Администрацией письменного обращения, если более короткий срок не предусмотрен законодательством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  <w:tc>
          <w:tcPr>
            <w:tcW w:w="240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Администрация Апраксинского сельского поселения Глава администрации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90" w:type="dxa"/>
            <w:vMerge/>
            <w:tcBorders>
              <w:top w:val="single" w:color="000000" w:sz="6"/>
              <w:left w:val="single" w:color="000000" w:sz="6"/>
              <w:bottom w:val="single" w:color="000000" w:sz="0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46" w:type="dxa"/>
            <w:vMerge/>
            <w:tcBorders>
              <w:top w:val="single" w:color="000000" w:sz="6"/>
              <w:left w:val="single" w:color="000000" w:sz="6"/>
              <w:bottom w:val="single" w:color="000000" w:sz="0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2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3.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Консультирование контролируемых лиц путем размещения на официальном сайте Администрации письменного разъяснения, подписанного Главой (заместителем главы) администрации Апраксинского сельского поселения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FFFFFF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или должностным лицом, уполномоченным осуществлять муниципальный контроль</w:t>
            </w:r>
            <w:r>
              <w:rPr>
                <w:rFonts w:ascii="Times New Roman" w:hAnsi="Times New Roman" w:cs="Times New Roman" w:eastAsia="Times New Roman"/>
                <w:color w:val="000000"/>
                <w:spacing w:val="-6"/>
                <w:position w:val="0"/>
                <w:sz w:val="24"/>
                <w:shd w:fill="FFFFFF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в сфере благоустройства (в случае поступления в Администрацию пяти и более однотипных обращений контролируемых лиц и их представителей)</w:t>
            </w:r>
          </w:p>
        </w:tc>
        <w:tc>
          <w:tcPr>
            <w:tcW w:w="199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 течение 30 дней со дня регистрации администрацией пятого однотипного обращения контролируемых лиц и их представителей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  <w:tc>
          <w:tcPr>
            <w:tcW w:w="240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Администрация Апраксинского сельского поселения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,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 Глава администрации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90" w:type="dxa"/>
            <w:tcBorders>
              <w:top w:val="single" w:color="000000" w:sz="0"/>
              <w:left w:val="single" w:color="000000" w:sz="6"/>
              <w:bottom w:val="single" w:color="000000" w:sz="4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46" w:type="dxa"/>
            <w:tcBorders>
              <w:top w:val="single" w:color="000000" w:sz="0"/>
              <w:left w:val="single" w:color="000000" w:sz="6"/>
              <w:bottom w:val="single" w:color="000000" w:sz="4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2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4.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Консультирование контролируемых лиц в устной форме на собраниях и конференциях граждан</w:t>
            </w:r>
          </w:p>
        </w:tc>
        <w:tc>
          <w:tcPr>
            <w:tcW w:w="199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 случае проведения собрания (конференции) граждан, повестка которого предусматривает консультирование контролируемых лиц по вопросам муниципального контроля</w:t>
            </w:r>
            <w:r>
              <w:rPr>
                <w:rFonts w:ascii="Times New Roman" w:hAnsi="Times New Roman" w:cs="Times New Roman" w:eastAsia="Times New Roman"/>
                <w:color w:val="000000"/>
                <w:spacing w:val="-6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 сфере благоустройства в день проведения собрания (конференции) граждан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position w:val="0"/>
              </w:rPr>
            </w:pPr>
          </w:p>
        </w:tc>
        <w:tc>
          <w:tcPr>
            <w:tcW w:w="240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Администрация  Апраксинского сельского поселения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0"/>
                <w:shd w:fill="auto" w:val="clear"/>
              </w:rPr>
              <w:t xml:space="preserve">,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Глава администрации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90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2646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Профилактический визит, в ходе которого контролируемое лицо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информируется об обязательных требованиях, предъявляемых к его деятельности либо к принадлежащим ему объектам контроля</w:t>
            </w:r>
          </w:p>
        </w:tc>
        <w:tc>
          <w:tcPr>
            <w:tcW w:w="312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Профилактическая беседа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199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 мере необходимости, но не менее 4 профилактических визитов в 1 полугодие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  <w:tc>
          <w:tcPr>
            <w:tcW w:w="240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4" w:type="dxa"/>
              <w:right w:w="1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Администрация Апраксинского сельского поселения 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,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  Глава администрации </w:t>
            </w:r>
          </w:p>
        </w:tc>
      </w:tr>
    </w:tbl>
    <w:p>
      <w:pPr>
        <w:spacing w:before="0" w:after="0" w:line="360"/>
        <w:ind w:right="0" w:left="0" w:firstLine="709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4.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Показатели результативности и эффективности Программы профилактики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Показатели результативности Программы профилактики определяются в соответствии со следующей таблицей.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</w:p>
    <w:tbl>
      <w:tblPr/>
      <w:tblGrid>
        <w:gridCol w:w="629"/>
        <w:gridCol w:w="6238"/>
        <w:gridCol w:w="3260"/>
      </w:tblGrid>
      <w:tr>
        <w:trPr>
          <w:trHeight w:val="1" w:hRule="atLeast"/>
          <w:jc w:val="left"/>
        </w:trPr>
        <w:tc>
          <w:tcPr>
            <w:tcW w:w="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№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п/п</w:t>
            </w:r>
          </w:p>
        </w:tc>
        <w:tc>
          <w:tcPr>
            <w:tcW w:w="62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показателя</w:t>
            </w:r>
          </w:p>
        </w:tc>
        <w:tc>
          <w:tcPr>
            <w:tcW w:w="32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Единица измерения, свидетельствующая о максимальной результативности Программы профилактики</w:t>
            </w:r>
          </w:p>
        </w:tc>
      </w:tr>
      <w:tr>
        <w:trPr>
          <w:trHeight w:val="1" w:hRule="atLeast"/>
          <w:jc w:val="left"/>
        </w:trPr>
        <w:tc>
          <w:tcPr>
            <w:tcW w:w="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</w:t>
            </w:r>
          </w:p>
        </w:tc>
        <w:tc>
          <w:tcPr>
            <w:tcW w:w="62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Полнота информации, размещенной на официальном сайте Администрации в соответствии с частью 3 статьи 46 Федерального закона от 31 июля 2020 года № 248-ФЗ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государственном контроле (надзоре) и муниципальном контроле в Российской Федерации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32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100 %</w:t>
            </w:r>
          </w:p>
        </w:tc>
      </w:tr>
      <w:tr>
        <w:trPr>
          <w:trHeight w:val="1" w:hRule="atLeast"/>
          <w:jc w:val="left"/>
        </w:trPr>
        <w:tc>
          <w:tcPr>
            <w:tcW w:w="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</w:t>
            </w:r>
          </w:p>
        </w:tc>
        <w:tc>
          <w:tcPr>
            <w:tcW w:w="62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Количество размещений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32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</w:tr>
      <w:tr>
        <w:trPr>
          <w:trHeight w:val="1" w:hRule="atLeast"/>
          <w:jc w:val="left"/>
        </w:trPr>
        <w:tc>
          <w:tcPr>
            <w:tcW w:w="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</w:t>
            </w:r>
          </w:p>
        </w:tc>
        <w:tc>
          <w:tcPr>
            <w:tcW w:w="62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Доля случаев объявления предостережений в общем количестве случаев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выявления готовящихся нарушений обязательных требований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или признаков нарушений обязательных требований</w:t>
            </w:r>
          </w:p>
        </w:tc>
        <w:tc>
          <w:tcPr>
            <w:tcW w:w="32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100 %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если имелись случаи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выявления готовящихся нарушений обязательных требований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или признаков нарушений обязательных требований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)</w:t>
            </w:r>
          </w:p>
        </w:tc>
      </w:tr>
      <w:tr>
        <w:trPr>
          <w:trHeight w:val="1" w:hRule="atLeast"/>
          <w:jc w:val="left"/>
        </w:trPr>
        <w:tc>
          <w:tcPr>
            <w:tcW w:w="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4.</w:t>
            </w:r>
          </w:p>
        </w:tc>
        <w:tc>
          <w:tcPr>
            <w:tcW w:w="62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Доля случаев нарушения сроков консультирования контролируемых лиц в письменной форме</w:t>
            </w:r>
          </w:p>
        </w:tc>
        <w:tc>
          <w:tcPr>
            <w:tcW w:w="32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0%</w:t>
            </w:r>
          </w:p>
        </w:tc>
      </w:tr>
      <w:tr>
        <w:trPr>
          <w:trHeight w:val="1" w:hRule="atLeast"/>
          <w:jc w:val="left"/>
        </w:trPr>
        <w:tc>
          <w:tcPr>
            <w:tcW w:w="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5.</w:t>
            </w:r>
          </w:p>
        </w:tc>
        <w:tc>
          <w:tcPr>
            <w:tcW w:w="62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Доля случаев повторного обращения контролируемых лиц в письменной форме по тому же вопросу муниципального контроля</w:t>
            </w:r>
            <w:r>
              <w:rPr>
                <w:rFonts w:ascii="Times New Roman" w:hAnsi="Times New Roman" w:cs="Times New Roman" w:eastAsia="Times New Roman"/>
                <w:color w:val="000000"/>
                <w:spacing w:val="-6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 сфере благоустройства</w:t>
            </w:r>
          </w:p>
        </w:tc>
        <w:tc>
          <w:tcPr>
            <w:tcW w:w="32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0%</w:t>
            </w:r>
          </w:p>
        </w:tc>
      </w:tr>
      <w:tr>
        <w:trPr>
          <w:trHeight w:val="1" w:hRule="atLeast"/>
          <w:jc w:val="left"/>
        </w:trPr>
        <w:tc>
          <w:tcPr>
            <w:tcW w:w="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6.</w:t>
            </w:r>
          </w:p>
        </w:tc>
        <w:tc>
          <w:tcPr>
            <w:tcW w:w="62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Количество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собраний и конференций граждан, на которых осуществлялось консультирование контролируемых лиц по вопросам муниципального контроля</w:t>
            </w:r>
            <w:r>
              <w:rPr>
                <w:rFonts w:ascii="Times New Roman" w:hAnsi="Times New Roman" w:cs="Times New Roman" w:eastAsia="Times New Roman"/>
                <w:color w:val="000000"/>
                <w:spacing w:val="-6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 сфере благоустройства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 устной форме </w:t>
            </w:r>
          </w:p>
        </w:tc>
        <w:tc>
          <w:tcPr>
            <w:tcW w:w="32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 </w:t>
            </w:r>
          </w:p>
        </w:tc>
      </w:tr>
    </w:tbl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22272F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Под оценкой эффективности Программы</w:t>
      </w:r>
      <w:r>
        <w:rPr>
          <w:rFonts w:ascii="Times New Roman" w:hAnsi="Times New Roman" w:cs="Times New Roman" w:eastAsia="Times New Roman"/>
          <w:color w:val="22272F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профилактики понимается оценка изменения количества нарушений обязательных требований</w:t>
      </w:r>
      <w:r>
        <w:rPr>
          <w:rFonts w:ascii="Times New Roman" w:hAnsi="Times New Roman" w:cs="Times New Roman" w:eastAsia="Times New Roman"/>
          <w:color w:val="22272F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по итогам проведенных профилактических мероприятий. </w:t>
      </w:r>
    </w:p>
    <w:p>
      <w:pPr>
        <w:spacing w:before="0" w:after="0" w:line="240"/>
        <w:ind w:right="0" w:left="0" w:firstLine="709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Текущая (ежеквартальная) оценка результативности и эффективности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Программы профилактики осуществляется Главой администрации Апраксинского сельского поселения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Ежегодная оценка результативности и эффективности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Программы профилактики осуществляется администрации Апраксинского сельского поселения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  <w:vertAlign w:val="superscript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Для осуществления ежегодной оценки результативности и эффективности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Программы профилактики Администрацией не позднее 1 июля 2023 года (года, следующего за отчетным) в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администрации Апраксинского сельского поселения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представляется информация о степени достижения предусмотренных настоящим разделом показателей результативности Программы профилактики, а также информация об изменении количества нарушений обязательных требований.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