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1785" w:leader="none"/>
          <w:tab w:val="center" w:pos="5040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44"/>
          <w:shd w:fill="auto" w:val="clear"/>
        </w:rPr>
      </w:pPr>
    </w:p>
    <w:p>
      <w:pPr>
        <w:tabs>
          <w:tab w:val="left" w:pos="1785" w:leader="none"/>
          <w:tab w:val="center" w:pos="5040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4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4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44"/>
          <w:shd w:fill="auto" w:val="clear"/>
        </w:rPr>
        <w:t xml:space="preserve">ВЕСТИ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44"/>
          <w:shd w:fill="auto" w:val="clear"/>
        </w:rPr>
        <w:t xml:space="preserve">»</w:t>
      </w:r>
    </w:p>
    <w:p>
      <w:pPr>
        <w:tabs>
          <w:tab w:val="left" w:pos="1785" w:leader="none"/>
          <w:tab w:val="center" w:pos="5040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9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  <w:t xml:space="preserve">Газета Апраксинского сельского поселения Чамзинского 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  <w:t xml:space="preserve">№  7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56"/>
          <w:shd w:fill="auto" w:val="clear"/>
        </w:rPr>
      </w:pPr>
    </w:p>
    <w:p>
      <w:pPr>
        <w:tabs>
          <w:tab w:val="left" w:pos="1785" w:leader="none"/>
          <w:tab w:val="center" w:pos="504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</w:pPr>
    </w:p>
    <w:p>
      <w:pPr>
        <w:tabs>
          <w:tab w:val="left" w:pos="1785" w:leader="none"/>
          <w:tab w:val="center" w:pos="5040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</w:pPr>
    </w:p>
    <w:p>
      <w:pPr>
        <w:tabs>
          <w:tab w:val="left" w:pos="1785" w:leader="none"/>
          <w:tab w:val="center" w:pos="5040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6"/>
          <w:shd w:fill="auto" w:val="clear"/>
        </w:rPr>
        <w:t xml:space="preserve">Пятница                    10.06.2022</w:t>
      </w:r>
    </w:p>
    <w:p>
      <w:pPr>
        <w:tabs>
          <w:tab w:val="left" w:pos="1785" w:leader="none"/>
          <w:tab w:val="center" w:pos="504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проведении  публичных слушаний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проекту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Внесение изменений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 Генеральный план и Правила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землепользования и застройки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Апраксинского сельского поселения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 Апраксинского   сельского  поселения</w:t>
      </w:r>
    </w:p>
    <w:p>
      <w:pPr>
        <w:suppressAutoHyphens w:val="true"/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 муниципального  района</w:t>
      </w:r>
    </w:p>
    <w:p>
      <w:pPr>
        <w:suppressAutoHyphens w:val="true"/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Республика  Мордовия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ПОСТАНОВЛЕНИЕ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                                                          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10.06.2022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                                                                                                     № 19</w:t>
      </w:r>
    </w:p>
    <w:p>
      <w:pPr>
        <w:suppressAutoHyphens w:val="true"/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с.Апраксино</w:t>
      </w:r>
    </w:p>
    <w:p>
      <w:pPr>
        <w:tabs>
          <w:tab w:val="left" w:pos="0" w:leader="none"/>
        </w:tabs>
        <w:suppressAutoHyphens w:val="true"/>
        <w:spacing w:before="108" w:after="108" w:line="240"/>
        <w:ind w:right="0" w:left="0" w:firstLine="72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проведении  публичных слушаний по проекту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Внесение изменений в Генеральный план и Правила землепользования и застройки Апраксинского сельского поселения Чамзинского муниципального района Республики Мордовия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 соответствии с частями 2 и 4.1 статьи 25, со статьей 31 Градостроительного кодекса Российской Федерации от 29 декабря 2004 года №191-ФЗ, статьей 28 Федерального закона от 6 октября 2003 года № 131-ФЗ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 общих принципах организации местного самоуправления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Порядка организации и проведения публичных слушаний в Апраксинском сельском поселении Чамзинского муниципального района Республики Мордовия, утвержденным Решением сессии Совета депутатов от 04.08.2021г. № 122,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Уставом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сельского поселения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администрация Апраксинского сельского поселения </w:t>
      </w:r>
    </w:p>
    <w:p>
      <w:pPr>
        <w:suppressAutoHyphens w:val="true"/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ПОСТАНОВЛЯЕТ:</w:t>
      </w:r>
    </w:p>
    <w:p>
      <w:pPr>
        <w:tabs>
          <w:tab w:val="left" w:pos="0" w:leader="none"/>
          <w:tab w:val="left" w:pos="720" w:leader="none"/>
        </w:tabs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</w:r>
    </w:p>
    <w:p>
      <w:pPr>
        <w:suppressAutoHyphens w:val="true"/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Вынести на публичные слушания проект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Внесение изменений в Генеральный план и Правила землепользования и застройки Апраксинского сельского поселения Чамзинского муниципального района Республики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далее – проекты изменений). Текст проекта  изменений находится в администрации сельского поселения по адресу: с. Апраксино, ул. Центральная, 11А.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525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Определить, что место и время проведения публичных слушаний устанавливается в соответствии с графиком (Приложение № 1).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525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Установить, что организация и проведение публичных слушаний осуществляется рабочей группой (приложение № 2).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525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Предложения  по проекту внесения изменений в Генеральный план и Правила землепользования и застройки Апраксинского сельского поселения Чамзинского муниципального района Республики Мордовия принимаются рабочей группой до 14.06.2022 года, в соответствии с прилагаемой  формой внесения предложений по проекту внесения изменений в Генеральный план и Правила землепользования и застройки Апраксинского сельского поселения Чамзинского муниципального района Республики Мордовия (Приложение № 3), по адресу: 431712, Республика Мордовия, Чамзинский район, с.Апраксино, ул.Центральная, д.11А, тел. 24-1-14, ежедневно с 8 ч 30 мин до 16 ч 30 мин, обеденный перерыв с 13.00 до 14.00,  выходные дни: суббота  и  воскресенье.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525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Обсуждение проекта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Внесение изменений в Генеральный план и Правила землепользования и застройки Апраксинского сельского поселения Чамзинского муниципального района Республики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осуществляется в порядке, установленном Положением о порядке проведения   публичных  слушаний.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495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Настоящее решение вступает в силу со дня его подписания и подлежит официальному опубликованию в информационном бюллетене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Вести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И.о.главы администрации Апраксинского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сельского поселения                                                                              Т.А.Глебова 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8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</w:t>
      </w:r>
      <w:r>
        <w:rPr>
          <w:rFonts w:ascii="Times New Roman" w:hAnsi="Times New Roman" w:cs="Times New Roman" w:eastAsia="Times New Roman"/>
          <w:b/>
          <w:color w:val="000080"/>
          <w:spacing w:val="0"/>
          <w:position w:val="0"/>
          <w:sz w:val="28"/>
          <w:shd w:fill="auto" w:val="clear"/>
        </w:rPr>
        <w:tab/>
        <w:tab/>
        <w:tab/>
        <w:tab/>
        <w:t xml:space="preserve">                    </w:t>
      </w:r>
      <w:r>
        <w:rPr>
          <w:rFonts w:ascii="Times New Roman" w:hAnsi="Times New Roman" w:cs="Times New Roman" w:eastAsia="Times New Roman"/>
          <w:b/>
          <w:color w:val="000080"/>
          <w:spacing w:val="0"/>
          <w:position w:val="0"/>
          <w:sz w:val="24"/>
          <w:shd w:fill="auto" w:val="clear"/>
        </w:rPr>
        <w:t xml:space="preserve">     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80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80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80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80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Приложение  № 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ab/>
        <w:tab/>
        <w:tab/>
        <w:t xml:space="preserve">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 Постановлению   Администрации</w:t>
      </w:r>
    </w:p>
    <w:p>
      <w:pPr>
        <w:suppressAutoHyphens w:val="true"/>
        <w:spacing w:before="0" w:after="0" w:line="240"/>
        <w:ind w:right="0" w:left="0" w:firstLine="72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ab/>
        <w:tab/>
        <w:tab/>
        <w:t xml:space="preserve">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 сельского поселения</w:t>
        <w:tab/>
        <w:tab/>
        <w:tab/>
        <w:tab/>
        <w:t xml:space="preserve">                                                                              от  10.06.2022 г.  № 19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center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График проведения публичных слушаний по проекту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Внесение изменений в Генеральный план и Правила землепользования и застройки Апраксинского сельского поселения Чамзинского муниципального района Республики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tbl>
      <w:tblPr/>
      <w:tblGrid>
        <w:gridCol w:w="991"/>
        <w:gridCol w:w="1530"/>
        <w:gridCol w:w="2610"/>
        <w:gridCol w:w="4250"/>
      </w:tblGrid>
      <w:tr>
        <w:trPr>
          <w:trHeight w:val="1" w:hRule="atLeast"/>
          <w:jc w:val="left"/>
        </w:trPr>
        <w:tc>
          <w:tcPr>
            <w:tcW w:w="991" w:type="dxa"/>
            <w:tcBorders>
              <w:top w:val="single" w:color="000000" w:sz="1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61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№</w:t>
            </w:r>
          </w:p>
          <w:p>
            <w:pPr>
              <w:suppressLineNumbers w:val="true"/>
              <w:suppressAutoHyphens w:val="true"/>
              <w:spacing w:before="0" w:after="0" w:line="240"/>
              <w:ind w:right="61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п/п</w:t>
            </w:r>
          </w:p>
        </w:tc>
        <w:tc>
          <w:tcPr>
            <w:tcW w:w="1530" w:type="dxa"/>
            <w:tcBorders>
              <w:top w:val="single" w:color="000000" w:sz="1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61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Дата   проведения     публичных слушаний</w:t>
            </w:r>
          </w:p>
        </w:tc>
        <w:tc>
          <w:tcPr>
            <w:tcW w:w="2610" w:type="dxa"/>
            <w:tcBorders>
              <w:top w:val="single" w:color="000000" w:sz="1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Время   проведения публичных  слушаний</w:t>
            </w:r>
          </w:p>
        </w:tc>
        <w:tc>
          <w:tcPr>
            <w:tcW w:w="4250" w:type="dxa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Место    проведения   публичных  слушаний</w:t>
            </w:r>
          </w:p>
        </w:tc>
      </w:tr>
      <w:tr>
        <w:trPr>
          <w:trHeight w:val="1" w:hRule="atLeast"/>
          <w:jc w:val="left"/>
        </w:trPr>
        <w:tc>
          <w:tcPr>
            <w:tcW w:w="991" w:type="dxa"/>
            <w:tcBorders>
              <w:top w:val="single" w:color="836967" w:sz="0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61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uppressLineNumbers w:val="true"/>
              <w:suppressAutoHyphens w:val="true"/>
              <w:spacing w:before="0" w:after="0" w:line="240"/>
              <w:ind w:right="61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</w:t>
            </w:r>
          </w:p>
        </w:tc>
        <w:tc>
          <w:tcPr>
            <w:tcW w:w="1530" w:type="dxa"/>
            <w:tcBorders>
              <w:top w:val="single" w:color="836967" w:sz="0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61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uppressLineNumbers w:val="true"/>
              <w:suppressAutoHyphens w:val="true"/>
              <w:spacing w:before="0" w:after="0" w:line="240"/>
              <w:ind w:right="61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09.09.2022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г.</w:t>
            </w:r>
          </w:p>
        </w:tc>
        <w:tc>
          <w:tcPr>
            <w:tcW w:w="2610" w:type="dxa"/>
            <w:tcBorders>
              <w:top w:val="single" w:color="836967" w:sz="0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14.00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ч.</w:t>
            </w:r>
          </w:p>
        </w:tc>
        <w:tc>
          <w:tcPr>
            <w:tcW w:w="4250" w:type="dxa"/>
            <w:tcBorders>
              <w:top w:val="single" w:color="836967" w:sz="0"/>
              <w:left w:val="single" w:color="000000" w:sz="1"/>
              <w:bottom w:val="single" w:color="000000" w:sz="1"/>
              <w:right w:val="single" w:color="000000" w:sz="1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Здание администрации</w:t>
            </w:r>
          </w:p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431712,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РМ, Чамзинский район, с.Апраксино, ул. Центральная, д. 11А.</w:t>
            </w:r>
          </w:p>
        </w:tc>
      </w:tr>
    </w:tbl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720"/>
        <w:jc w:val="left"/>
        <w:rPr>
          <w:rFonts w:ascii="Times New Roman" w:hAnsi="Times New Roman" w:cs="Times New Roman" w:eastAsia="Times New Roman"/>
          <w:b/>
          <w:color w:val="00008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80"/>
          <w:spacing w:val="0"/>
          <w:position w:val="0"/>
          <w:sz w:val="28"/>
          <w:shd w:fill="auto" w:val="clear"/>
        </w:rPr>
        <w:t xml:space="preserve">                                                              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720"/>
        <w:jc w:val="left"/>
        <w:rPr>
          <w:rFonts w:ascii="Times New Roman" w:hAnsi="Times New Roman" w:cs="Times New Roman" w:eastAsia="Times New Roman"/>
          <w:b/>
          <w:color w:val="000080"/>
          <w:spacing w:val="0"/>
          <w:position w:val="0"/>
          <w:sz w:val="28"/>
          <w:shd w:fill="auto" w:val="clear"/>
        </w:rPr>
      </w:pP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720"/>
        <w:jc w:val="left"/>
        <w:rPr>
          <w:rFonts w:ascii="Times New Roman" w:hAnsi="Times New Roman" w:cs="Times New Roman" w:eastAsia="Times New Roman"/>
          <w:b/>
          <w:color w:val="000080"/>
          <w:spacing w:val="0"/>
          <w:position w:val="0"/>
          <w:sz w:val="28"/>
          <w:shd w:fill="auto" w:val="clear"/>
        </w:rPr>
      </w:pP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720"/>
        <w:jc w:val="left"/>
        <w:rPr>
          <w:rFonts w:ascii="Times New Roman" w:hAnsi="Times New Roman" w:cs="Times New Roman" w:eastAsia="Times New Roman"/>
          <w:b/>
          <w:color w:val="000080"/>
          <w:spacing w:val="0"/>
          <w:position w:val="0"/>
          <w:sz w:val="28"/>
          <w:shd w:fill="auto" w:val="clear"/>
        </w:rPr>
      </w:pP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720"/>
        <w:jc w:val="left"/>
        <w:rPr>
          <w:rFonts w:ascii="Times New Roman" w:hAnsi="Times New Roman" w:cs="Times New Roman" w:eastAsia="Times New Roman"/>
          <w:b/>
          <w:color w:val="000080"/>
          <w:spacing w:val="0"/>
          <w:position w:val="0"/>
          <w:sz w:val="28"/>
          <w:shd w:fill="auto" w:val="clear"/>
        </w:rPr>
      </w:pP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7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80"/>
          <w:spacing w:val="0"/>
          <w:position w:val="0"/>
          <w:sz w:val="28"/>
          <w:shd w:fill="auto" w:val="clear"/>
        </w:rPr>
        <w:t xml:space="preserve">                   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Приложение  № 2  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ab/>
        <w:tab/>
        <w:tab/>
        <w:t xml:space="preserve">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 Постановлению   Администрации</w:t>
      </w:r>
    </w:p>
    <w:p>
      <w:pPr>
        <w:suppressAutoHyphens w:val="true"/>
        <w:spacing w:before="0" w:after="0" w:line="240"/>
        <w:ind w:right="0" w:left="0" w:firstLine="72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ab/>
        <w:tab/>
        <w:tab/>
        <w:t xml:space="preserve">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 сельского поселения</w:t>
        <w:tab/>
        <w:tab/>
        <w:tab/>
        <w:tab/>
        <w:t xml:space="preserve">                                                                          от  10.06.2022 г.  № 19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0" w:leader="none"/>
        </w:tabs>
        <w:suppressAutoHyphens w:val="true"/>
        <w:spacing w:before="108" w:after="108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Рабочая группа 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организации и проведению публичных слушаний по проекту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Внесение изменений в Генеральный план и Правила землепользования и застройки Апраксинского сельского поселения Чамзинского муниципального района Республики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Глебова Т.А..   –       И.о.главы администрации Апраксинского 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сельского поселения 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председатель рабочей группы);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Алякина Ю.И. -         депутат Совета депутатов Апраксинского</w:t>
      </w:r>
    </w:p>
    <w:p>
      <w:pPr>
        <w:tabs>
          <w:tab w:val="left" w:pos="3540" w:leader="none"/>
        </w:tabs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сельского поселения. 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заместитель председателя рабочей группы);</w:t>
      </w:r>
    </w:p>
    <w:p>
      <w:pPr>
        <w:suppressAutoHyphens w:val="true"/>
        <w:spacing w:before="0" w:after="0" w:line="240"/>
        <w:ind w:right="0" w:left="2940" w:hanging="29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Фирулева Е.К.    -       специалист 1-ой категории Апраксинского </w:t>
      </w:r>
    </w:p>
    <w:p>
      <w:pPr>
        <w:suppressAutoHyphens w:val="true"/>
        <w:spacing w:before="0" w:after="0" w:line="240"/>
        <w:ind w:right="0" w:left="2940" w:hanging="29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сельского  поселения   (секретарь рабочей группы).</w:t>
      </w:r>
    </w:p>
    <w:p>
      <w:pPr>
        <w:tabs>
          <w:tab w:val="left" w:pos="0" w:leader="none"/>
        </w:tabs>
        <w:suppressAutoHyphens w:val="true"/>
        <w:spacing w:before="108" w:after="108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Члены рабочей группы: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Кемайкина О.П..    -  депутат Совета депутатов Апраксинского  сельского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поселения.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Базарнова Н.Н   -       депутат Совета депутатов  Апраксинского сельского </w:t>
      </w:r>
    </w:p>
    <w:p>
      <w:pPr>
        <w:suppressAutoHyphens w:val="true"/>
        <w:spacing w:before="0" w:after="0" w:line="240"/>
        <w:ind w:right="0" w:left="0" w:firstLine="7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поселения. </w:t>
      </w: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righ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7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80"/>
          <w:spacing w:val="0"/>
          <w:position w:val="0"/>
          <w:sz w:val="28"/>
          <w:shd w:fill="auto" w:val="clear"/>
        </w:rPr>
        <w:t xml:space="preserve">                      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Приложение  № 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00008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ab/>
        <w:tab/>
        <w:tab/>
        <w:t xml:space="preserve">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 Постановлению   Администрации</w:t>
      </w:r>
    </w:p>
    <w:p>
      <w:pPr>
        <w:suppressAutoHyphens w:val="true"/>
        <w:spacing w:before="0" w:after="0" w:line="240"/>
        <w:ind w:right="0" w:left="0" w:firstLine="72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80"/>
          <w:spacing w:val="0"/>
          <w:position w:val="0"/>
          <w:sz w:val="24"/>
          <w:shd w:fill="auto" w:val="clear"/>
        </w:rPr>
        <w:tab/>
        <w:tab/>
        <w:tab/>
        <w:tab/>
        <w:t xml:space="preserve">                          </w:t>
      </w:r>
      <w:r>
        <w:rPr>
          <w:rFonts w:ascii="Times New Roman" w:hAnsi="Times New Roman" w:cs="Times New Roman" w:eastAsia="Times New Roman"/>
          <w:color w:val="000080"/>
          <w:spacing w:val="0"/>
          <w:position w:val="0"/>
          <w:sz w:val="24"/>
          <w:shd w:fill="auto" w:val="clear"/>
        </w:rPr>
        <w:t xml:space="preserve">Апраксинского сельского поселения</w:t>
        <w:tab/>
        <w:tab/>
        <w:tab/>
        <w:tab/>
        <w:t xml:space="preserve">                                                                           от 10.06.2022 г.  № 19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0" w:leader="none"/>
        </w:tabs>
        <w:suppressAutoHyphens w:val="true"/>
        <w:spacing w:before="108" w:after="108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Форма </w:t>
        <w:br/>
        <w:t xml:space="preserve">внесения предложений по проекту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Внесение изменений в Генеральный план и Правила землепользования и застройки Апраксинского сельского поселения Чамзинского муниципального района Республики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0"/>
          <w:shd w:fill="auto" w:val="clear"/>
        </w:rPr>
      </w:pPr>
    </w:p>
    <w:tbl>
      <w:tblPr/>
      <w:tblGrid>
        <w:gridCol w:w="645"/>
        <w:gridCol w:w="1028"/>
        <w:gridCol w:w="1336"/>
        <w:gridCol w:w="1243"/>
        <w:gridCol w:w="1063"/>
        <w:gridCol w:w="1063"/>
        <w:gridCol w:w="1063"/>
        <w:gridCol w:w="1063"/>
        <w:gridCol w:w="1119"/>
      </w:tblGrid>
      <w:tr>
        <w:trPr>
          <w:trHeight w:val="1" w:hRule="atLeast"/>
          <w:jc w:val="left"/>
        </w:trPr>
        <w:tc>
          <w:tcPr>
            <w:tcW w:w="645" w:type="dxa"/>
            <w:vMerge w:val="restart"/>
            <w:tcBorders>
              <w:top w:val="single" w:color="000000" w:sz="1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№ </w:t>
            </w:r>
          </w:p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п/п</w:t>
            </w:r>
          </w:p>
        </w:tc>
        <w:tc>
          <w:tcPr>
            <w:tcW w:w="1028" w:type="dxa"/>
            <w:vMerge w:val="restart"/>
            <w:tcBorders>
              <w:top w:val="single" w:color="000000" w:sz="1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Глава, статья, часть статьи, пункт</w:t>
            </w:r>
          </w:p>
        </w:tc>
        <w:tc>
          <w:tcPr>
            <w:tcW w:w="1336" w:type="dxa"/>
            <w:vMerge w:val="restart"/>
            <w:tcBorders>
              <w:top w:val="single" w:color="000000" w:sz="1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Текст проекта бюджета</w:t>
            </w:r>
          </w:p>
        </w:tc>
        <w:tc>
          <w:tcPr>
            <w:tcW w:w="1243" w:type="dxa"/>
            <w:vMerge w:val="restart"/>
            <w:tcBorders>
              <w:top w:val="single" w:color="000000" w:sz="1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Текст поправки в бюджет</w:t>
            </w:r>
          </w:p>
        </w:tc>
        <w:tc>
          <w:tcPr>
            <w:tcW w:w="1063" w:type="dxa"/>
            <w:vMerge w:val="restart"/>
            <w:tcBorders>
              <w:top w:val="single" w:color="000000" w:sz="1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Текст проекта бюджета с учетом поправки</w:t>
            </w:r>
          </w:p>
        </w:tc>
        <w:tc>
          <w:tcPr>
            <w:tcW w:w="4308" w:type="dxa"/>
            <w:gridSpan w:val="4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72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Кем внесена поправка в проект бюджета</w:t>
            </w:r>
          </w:p>
        </w:tc>
      </w:tr>
      <w:tr>
        <w:trPr>
          <w:trHeight w:val="1" w:hRule="atLeast"/>
          <w:jc w:val="left"/>
        </w:trPr>
        <w:tc>
          <w:tcPr>
            <w:tcW w:w="645" w:type="dxa"/>
            <w:vMerge/>
            <w:tcBorders>
              <w:top w:val="single" w:color="000000" w:sz="1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tabs>
                <w:tab w:val="left" w:pos="1785" w:leader="none"/>
                <w:tab w:val="center" w:pos="5040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8" w:type="dxa"/>
            <w:vMerge/>
            <w:tcBorders>
              <w:top w:val="single" w:color="000000" w:sz="1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tabs>
                <w:tab w:val="left" w:pos="1785" w:leader="none"/>
                <w:tab w:val="center" w:pos="5040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36" w:type="dxa"/>
            <w:vMerge/>
            <w:tcBorders>
              <w:top w:val="single" w:color="000000" w:sz="1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tabs>
                <w:tab w:val="left" w:pos="1785" w:leader="none"/>
                <w:tab w:val="center" w:pos="5040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3" w:type="dxa"/>
            <w:vMerge/>
            <w:tcBorders>
              <w:top w:val="single" w:color="000000" w:sz="1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tabs>
                <w:tab w:val="left" w:pos="1785" w:leader="none"/>
                <w:tab w:val="center" w:pos="5040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3" w:type="dxa"/>
            <w:vMerge/>
            <w:tcBorders>
              <w:top w:val="single" w:color="000000" w:sz="1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tabs>
                <w:tab w:val="left" w:pos="1785" w:leader="none"/>
                <w:tab w:val="center" w:pos="5040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3" w:type="dxa"/>
            <w:tcBorders>
              <w:top w:val="single" w:color="836967" w:sz="0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ФИО внесшего поправку</w:t>
            </w:r>
          </w:p>
        </w:tc>
        <w:tc>
          <w:tcPr>
            <w:tcW w:w="1063" w:type="dxa"/>
            <w:tcBorders>
              <w:top w:val="single" w:color="836967" w:sz="0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Домашний адрес</w:t>
            </w:r>
          </w:p>
        </w:tc>
        <w:tc>
          <w:tcPr>
            <w:tcW w:w="1063" w:type="dxa"/>
            <w:tcBorders>
              <w:top w:val="single" w:color="836967" w:sz="0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Данные документа удостоверяющего личность</w:t>
            </w:r>
          </w:p>
        </w:tc>
        <w:tc>
          <w:tcPr>
            <w:tcW w:w="1119" w:type="dxa"/>
            <w:tcBorders>
              <w:top w:val="single" w:color="836967" w:sz="0"/>
              <w:left w:val="single" w:color="000000" w:sz="1"/>
              <w:bottom w:val="single" w:color="000000" w:sz="1"/>
              <w:right w:val="single" w:color="000000" w:sz="1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Место работы, учебы</w:t>
            </w:r>
          </w:p>
        </w:tc>
      </w:tr>
      <w:tr>
        <w:trPr>
          <w:trHeight w:val="1" w:hRule="atLeast"/>
          <w:jc w:val="left"/>
        </w:trPr>
        <w:tc>
          <w:tcPr>
            <w:tcW w:w="645" w:type="dxa"/>
            <w:tcBorders>
              <w:top w:val="single" w:color="836967" w:sz="0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72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</w:p>
          <w:p>
            <w:pPr>
              <w:suppressLineNumbers w:val="true"/>
              <w:suppressAutoHyphens w:val="true"/>
              <w:spacing w:before="0" w:after="0" w:line="240"/>
              <w:ind w:right="0" w:left="0" w:firstLine="72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28" w:type="dxa"/>
            <w:tcBorders>
              <w:top w:val="single" w:color="836967" w:sz="0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72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36" w:type="dxa"/>
            <w:tcBorders>
              <w:top w:val="single" w:color="836967" w:sz="0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72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3" w:type="dxa"/>
            <w:tcBorders>
              <w:top w:val="single" w:color="836967" w:sz="0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72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3" w:type="dxa"/>
            <w:tcBorders>
              <w:top w:val="single" w:color="836967" w:sz="0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72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3" w:type="dxa"/>
            <w:tcBorders>
              <w:top w:val="single" w:color="836967" w:sz="0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72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3" w:type="dxa"/>
            <w:tcBorders>
              <w:top w:val="single" w:color="836967" w:sz="0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72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3" w:type="dxa"/>
            <w:tcBorders>
              <w:top w:val="single" w:color="836967" w:sz="0"/>
              <w:left w:val="single" w:color="000000" w:sz="1"/>
              <w:bottom w:val="single" w:color="000000" w:sz="1"/>
              <w:right w:val="single" w:color="836967" w:sz="0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72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19" w:type="dxa"/>
            <w:tcBorders>
              <w:top w:val="single" w:color="836967" w:sz="0"/>
              <w:left w:val="single" w:color="000000" w:sz="1"/>
              <w:bottom w:val="single" w:color="000000" w:sz="1"/>
              <w:right w:val="single" w:color="000000" w:sz="1"/>
            </w:tcBorders>
            <w:shd w:color="auto" w:fill="auto" w:val="clear"/>
            <w:tcMar>
              <w:left w:w="10" w:type="dxa"/>
              <w:right w:w="10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72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