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08C6" w:rsidRDefault="002F08C6" w:rsidP="002F08C6">
      <w:pPr>
        <w:pStyle w:val="Standard"/>
        <w:ind w:right="-284"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МЕДАЕВСКОГО СЕЛЬСКОГО ПОСЕЛЕНИЯ</w:t>
      </w:r>
    </w:p>
    <w:p w:rsidR="002F08C6" w:rsidRDefault="002F08C6" w:rsidP="002F08C6">
      <w:pPr>
        <w:pStyle w:val="Standard"/>
        <w:ind w:right="-284"/>
        <w:jc w:val="center"/>
        <w:rPr>
          <w:sz w:val="28"/>
          <w:szCs w:val="28"/>
        </w:rPr>
      </w:pPr>
      <w:r>
        <w:rPr>
          <w:sz w:val="28"/>
          <w:szCs w:val="28"/>
        </w:rPr>
        <w:t>ЧАМЗИНСКОГО МУНИЦИПАЛЬНОГО РАЙОНА</w:t>
      </w:r>
    </w:p>
    <w:p w:rsidR="002F08C6" w:rsidRDefault="002F08C6" w:rsidP="002F08C6">
      <w:pPr>
        <w:pStyle w:val="Standard"/>
        <w:ind w:right="-284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2F08C6" w:rsidRDefault="002F08C6" w:rsidP="002F08C6">
      <w:pPr>
        <w:pStyle w:val="Standard"/>
        <w:ind w:right="-284"/>
        <w:jc w:val="center"/>
        <w:rPr>
          <w:sz w:val="28"/>
          <w:szCs w:val="28"/>
        </w:rPr>
      </w:pPr>
    </w:p>
    <w:p w:rsidR="002F08C6" w:rsidRDefault="002F08C6" w:rsidP="002F08C6">
      <w:pPr>
        <w:pStyle w:val="Standard"/>
        <w:ind w:right="-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2F08C6" w:rsidRDefault="002F08C6" w:rsidP="002F08C6">
      <w:pPr>
        <w:pStyle w:val="Standard"/>
        <w:ind w:right="-284"/>
        <w:jc w:val="center"/>
        <w:rPr>
          <w:sz w:val="28"/>
          <w:szCs w:val="28"/>
        </w:rPr>
      </w:pPr>
      <w:r>
        <w:rPr>
          <w:sz w:val="28"/>
          <w:szCs w:val="28"/>
        </w:rPr>
        <w:t>30.09.2020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                 № 50 А</w:t>
      </w:r>
    </w:p>
    <w:p w:rsidR="002F08C6" w:rsidRDefault="002F08C6" w:rsidP="002F08C6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с. Медаево </w:t>
      </w:r>
    </w:p>
    <w:p w:rsidR="002F08C6" w:rsidRDefault="002F08C6" w:rsidP="002F08C6">
      <w:pPr>
        <w:pStyle w:val="a3"/>
        <w:jc w:val="center"/>
        <w:rPr>
          <w:b/>
          <w:sz w:val="28"/>
          <w:szCs w:val="28"/>
        </w:rPr>
      </w:pPr>
      <w:r>
        <w:rPr>
          <w:rStyle w:val="FontStyle55"/>
          <w:sz w:val="28"/>
          <w:szCs w:val="28"/>
        </w:rPr>
        <w:t xml:space="preserve">О внесении изменений </w:t>
      </w:r>
      <w:r>
        <w:rPr>
          <w:b/>
          <w:sz w:val="28"/>
          <w:szCs w:val="28"/>
        </w:rPr>
        <w:t>в муниципальную программу «Развитие автомобильных дорог в Медаевском сельском поселении на 2015-2025 годы» в Медаевском сельском поселении Чамзинского муниципального района Республики Мордовия», утвержденную постановлением администрации Медаевского сельского поселения от 26.12.2014 №90 (с изм. №26.11.2018 г. № 68, изм. 29.11.2018 г. № 64)</w:t>
      </w:r>
    </w:p>
    <w:p w:rsidR="002F08C6" w:rsidRDefault="002F08C6" w:rsidP="002F08C6">
      <w:pPr>
        <w:pStyle w:val="a3"/>
        <w:jc w:val="center"/>
        <w:rPr>
          <w:b/>
          <w:sz w:val="28"/>
          <w:szCs w:val="28"/>
        </w:rPr>
      </w:pPr>
    </w:p>
    <w:p w:rsidR="002F08C6" w:rsidRDefault="002F08C6" w:rsidP="002F08C6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целях сохранения и развития сети автомобильных дорог местного значения в границах Медаевского сельского поселения Чамзинского муниципального района Республики Мордовия и обеспечения безопасности дорожного движения, руководствуясь Федеральным законом от 06.10.2003 года № 131-ФЗ «Об общих принципах организации местного самоуправления в Российской Федерации», постановлением администрации  Медаевского сельского поселения  от 26.12.2014 г. № 90 «О принятии Порядка  проведения и критерии оценки эффективности  реализации долгосрочных программ, реализуемых за счет средств бюджета Медаевского  сельского поселения», Администрация  Медаевского  сельского поселения</w:t>
      </w:r>
    </w:p>
    <w:p w:rsidR="002F08C6" w:rsidRDefault="002F08C6" w:rsidP="002F08C6">
      <w:pPr>
        <w:jc w:val="center"/>
        <w:rPr>
          <w:rFonts w:ascii="Times New Roman" w:hAnsi="Times New Roman"/>
          <w:sz w:val="28"/>
          <w:szCs w:val="28"/>
        </w:rPr>
      </w:pPr>
    </w:p>
    <w:p w:rsidR="002F08C6" w:rsidRDefault="002F08C6" w:rsidP="002F08C6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2F08C6" w:rsidRDefault="002F08C6" w:rsidP="002F08C6">
      <w:pPr>
        <w:jc w:val="center"/>
        <w:rPr>
          <w:rFonts w:ascii="Times New Roman" w:hAnsi="Times New Roman"/>
          <w:b/>
          <w:sz w:val="28"/>
          <w:szCs w:val="28"/>
        </w:rPr>
      </w:pPr>
    </w:p>
    <w:p w:rsidR="002F08C6" w:rsidRDefault="002F08C6" w:rsidP="002F08C6">
      <w:pPr>
        <w:ind w:firstLine="72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 xml:space="preserve">1. Внести изменения в муниципальную программу </w:t>
      </w:r>
      <w:r>
        <w:rPr>
          <w:rFonts w:ascii="Times New Roman" w:hAnsi="Times New Roman"/>
          <w:b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 xml:space="preserve">Развитие автомобильных дорог в Медаевском  сельском поселении на 2015-2025 годы», 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утвержденную постановлением администрации Медаевского сельского поселения от 26.12.2014 г. № 90 </w:t>
      </w:r>
      <w:r>
        <w:rPr>
          <w:rFonts w:ascii="Times New Roman" w:hAnsi="Times New Roman"/>
          <w:sz w:val="28"/>
          <w:szCs w:val="28"/>
        </w:rPr>
        <w:t>(с изм. от 26.11.2018г № 68, изм. от 29.11.2018 г. №64</w:t>
      </w:r>
      <w:r>
        <w:rPr>
          <w:sz w:val="28"/>
          <w:szCs w:val="28"/>
        </w:rPr>
        <w:t>)</w:t>
      </w:r>
      <w:r>
        <w:rPr>
          <w:rFonts w:ascii="Times New Roman" w:eastAsia="Calibri" w:hAnsi="Times New Roman"/>
          <w:sz w:val="28"/>
          <w:szCs w:val="28"/>
          <w:lang w:eastAsia="en-US"/>
        </w:rPr>
        <w:t>, до 2025 года.</w:t>
      </w:r>
    </w:p>
    <w:p w:rsidR="002F08C6" w:rsidRDefault="002F08C6" w:rsidP="002F08C6">
      <w:pPr>
        <w:ind w:firstLine="72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 xml:space="preserve">2. Изложить муниципальную программу </w:t>
      </w:r>
      <w:r>
        <w:rPr>
          <w:rFonts w:ascii="Times New Roman" w:hAnsi="Times New Roman"/>
          <w:b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Развитие автомобильных дорог в Медаевском сельском поселении на 2015-2025 годы» в новой редакции.</w:t>
      </w:r>
    </w:p>
    <w:p w:rsidR="002F08C6" w:rsidRDefault="002F08C6" w:rsidP="002F08C6">
      <w:pPr>
        <w:pStyle w:val="a3"/>
        <w:ind w:firstLine="708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3. Настоящее постановление вступает в силу со дня его </w:t>
      </w:r>
      <w:hyperlink r:id="rId4" w:history="1">
        <w:r>
          <w:rPr>
            <w:rStyle w:val="a5"/>
            <w:rFonts w:eastAsia="Calibri"/>
            <w:color w:val="auto"/>
            <w:sz w:val="28"/>
            <w:szCs w:val="28"/>
            <w:u w:val="none"/>
            <w:lang w:eastAsia="en-US"/>
          </w:rPr>
          <w:t>официального опубликования</w:t>
        </w:r>
      </w:hyperlink>
      <w:r>
        <w:rPr>
          <w:rFonts w:eastAsia="Calibri"/>
          <w:sz w:val="28"/>
          <w:szCs w:val="28"/>
          <w:lang w:eastAsia="en-US"/>
        </w:rPr>
        <w:t xml:space="preserve"> в Информационном бюллетене  Медаевского сельского поселения.</w:t>
      </w:r>
    </w:p>
    <w:p w:rsidR="002F08C6" w:rsidRDefault="002F08C6" w:rsidP="002F08C6">
      <w:pPr>
        <w:ind w:firstLine="72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2F08C6" w:rsidRDefault="002F08C6" w:rsidP="002F08C6">
      <w:pPr>
        <w:ind w:firstLine="72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2F08C6" w:rsidRDefault="002F08C6" w:rsidP="002F08C6">
      <w:pPr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2F08C6" w:rsidRDefault="002F08C6" w:rsidP="002F08C6">
      <w:pPr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И.о. главы Медаевского сельского поселения                                Голубева Е. Н.</w:t>
      </w:r>
    </w:p>
    <w:p w:rsidR="002F08C6" w:rsidRDefault="002F08C6" w:rsidP="002F08C6">
      <w:pPr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2F08C6" w:rsidRDefault="002F08C6" w:rsidP="002F08C6">
      <w:pPr>
        <w:ind w:firstLine="72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2F08C6" w:rsidRDefault="002F08C6" w:rsidP="002F08C6">
      <w:pPr>
        <w:pStyle w:val="1"/>
        <w:jc w:val="center"/>
        <w:rPr>
          <w:b w:val="0"/>
          <w:sz w:val="24"/>
        </w:rPr>
      </w:pPr>
      <w:r>
        <w:rPr>
          <w:bCs w:val="0"/>
          <w:sz w:val="24"/>
          <w:szCs w:val="24"/>
          <w:u w:val="none"/>
        </w:rPr>
        <w:t>Муниципальная программа</w:t>
      </w:r>
      <w:r>
        <w:rPr>
          <w:bCs w:val="0"/>
          <w:sz w:val="24"/>
          <w:szCs w:val="24"/>
          <w:u w:val="none"/>
        </w:rPr>
        <w:br/>
        <w:t>"Развитие автомобильных дорог в Медаевском сельском поселении Чамзинского муниципального района Республики Мордовия</w:t>
      </w:r>
      <w:r>
        <w:rPr>
          <w:bCs w:val="0"/>
          <w:sz w:val="24"/>
          <w:szCs w:val="24"/>
          <w:u w:val="none"/>
        </w:rPr>
        <w:br/>
        <w:t>на 2015 – 2025 годы»</w:t>
      </w:r>
    </w:p>
    <w:p w:rsidR="002F08C6" w:rsidRDefault="002F08C6" w:rsidP="002F08C6">
      <w:pPr>
        <w:jc w:val="center"/>
        <w:rPr>
          <w:rFonts w:ascii="Times New Roman" w:hAnsi="Times New Roman"/>
          <w:b/>
          <w:sz w:val="24"/>
        </w:rPr>
      </w:pPr>
      <w:bookmarkStart w:id="0" w:name="sub_1111"/>
      <w:r>
        <w:rPr>
          <w:rFonts w:ascii="Times New Roman" w:hAnsi="Times New Roman"/>
          <w:b/>
          <w:sz w:val="24"/>
        </w:rPr>
        <w:t>Паспорт</w:t>
      </w:r>
    </w:p>
    <w:p w:rsidR="002F08C6" w:rsidRDefault="002F08C6" w:rsidP="002F08C6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муниципальной программы «Развитие автомобильных дорог в Медаевском сельском поселении Чамзинского муниципального района Республики Мордовия </w:t>
      </w:r>
    </w:p>
    <w:p w:rsidR="002F08C6" w:rsidRDefault="002F08C6" w:rsidP="002F08C6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на 2015 – 2025 годы»</w:t>
      </w:r>
    </w:p>
    <w:tbl>
      <w:tblPr>
        <w:tblW w:w="9782" w:type="dxa"/>
        <w:tblInd w:w="-176" w:type="dxa"/>
        <w:tblLook w:val="04A0"/>
      </w:tblPr>
      <w:tblGrid>
        <w:gridCol w:w="2127"/>
        <w:gridCol w:w="7655"/>
      </w:tblGrid>
      <w:tr w:rsidR="002F08C6" w:rsidTr="002F08C6">
        <w:trPr>
          <w:trHeight w:val="931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bookmarkEnd w:id="0"/>
          <w:p w:rsidR="002F08C6" w:rsidRDefault="002F08C6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Наименование программы</w:t>
            </w: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"Развитие автомобильных дорог в Медаевском сельском поселении Чамзинского муниципального района Республики Мордовия на 2015 - 2025 годы», (далее программа)</w:t>
            </w:r>
          </w:p>
        </w:tc>
      </w:tr>
      <w:tr w:rsidR="002F08C6" w:rsidTr="002F08C6">
        <w:trPr>
          <w:trHeight w:val="847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Основания для разработки программы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государственная программа Республики Мордовия "Развитие автомобильных дорог регионального или межмуниципального значения Республики Мордовия" на 2014 - 2024 годы </w:t>
            </w:r>
          </w:p>
        </w:tc>
      </w:tr>
      <w:tr w:rsidR="002F08C6" w:rsidTr="002F08C6">
        <w:trPr>
          <w:trHeight w:val="69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Ответственный исполнитель 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</w:tr>
      <w:tr w:rsidR="002F08C6" w:rsidTr="002F08C6">
        <w:trPr>
          <w:trHeight w:val="559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Соисполнители программы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Администрация Чамзинского муниципального района Республики Мордовия</w:t>
            </w:r>
          </w:p>
        </w:tc>
      </w:tr>
      <w:tr w:rsidR="002F08C6" w:rsidTr="002F08C6">
        <w:trPr>
          <w:trHeight w:val="12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Цели программы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5" w:history="1">
              <w:r>
                <w:rPr>
                  <w:rStyle w:val="a5"/>
                  <w:rFonts w:ascii="Times New Roman" w:eastAsia="Times New Roman" w:hAnsi="Times New Roman"/>
                  <w:color w:val="auto"/>
                  <w:sz w:val="24"/>
                  <w:u w:val="none"/>
                </w:rPr>
                <w:t>совершенствование и развитие сети автомобильных дорог, повышение их транспортно-эксплутационных характеристик, обеспечение экономического роста и спроса на автотранспортные перевозки, увеличение эффективности использования природно-ресурсного потенциала и повышение уровня жизни населения.</w:t>
              </w:r>
            </w:hyperlink>
          </w:p>
        </w:tc>
      </w:tr>
      <w:tr w:rsidR="002F08C6" w:rsidTr="002F08C6">
        <w:trPr>
          <w:trHeight w:val="571"/>
        </w:trPr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Задачи программы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1. сохранение существующей сети автомобильных дорог общего пользования;</w:t>
            </w:r>
          </w:p>
        </w:tc>
      </w:tr>
      <w:tr w:rsidR="002F08C6" w:rsidTr="002F08C6">
        <w:trPr>
          <w:trHeight w:val="667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2. увеличение доли нормативных объемов работ по содержанию и ремонту автодорог;</w:t>
            </w:r>
          </w:p>
        </w:tc>
      </w:tr>
      <w:tr w:rsidR="002F08C6" w:rsidTr="002F08C6">
        <w:trPr>
          <w:trHeight w:val="706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3. приведение технических параметров дорог в соответствие с существующей и прогнозируемой интенсивностью движения с целью обеспечения безопасного пропуска автомобильного транспорта;</w:t>
            </w:r>
          </w:p>
        </w:tc>
      </w:tr>
      <w:tr w:rsidR="002F08C6" w:rsidTr="002F08C6">
        <w:trPr>
          <w:trHeight w:val="1078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4. реконструкция и ремонт автомобильных дорог, связывающих сельские населенные пункты, создание сети автомобильных дорог с твердым покрытием в сельской местности, обеспечивающей связи населенных пунктов с опорной сетью автомобильных дорог;</w:t>
            </w:r>
          </w:p>
        </w:tc>
      </w:tr>
      <w:tr w:rsidR="002F08C6" w:rsidTr="002F08C6">
        <w:trPr>
          <w:trHeight w:val="655"/>
        </w:trPr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Целевые индикаторы и показатели программы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Протяженность участков автомобильных дорог внутрипоселенческого значения, прошедших капитальный ремонт и ремонт;</w:t>
            </w:r>
          </w:p>
        </w:tc>
      </w:tr>
      <w:tr w:rsidR="002F08C6" w:rsidTr="002F08C6">
        <w:trPr>
          <w:trHeight w:val="1132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протяженность участков автомобильных дорог внутрипоселенческого значения -дорог с твердым покрытием в сельской местности, обеспечивающей связи населенных пунктов с опорной сетью автомобильных дорог;</w:t>
            </w:r>
          </w:p>
        </w:tc>
      </w:tr>
      <w:tr w:rsidR="002F08C6" w:rsidTr="002F08C6">
        <w:trPr>
          <w:trHeight w:val="273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- количество отремонтированных переездов, отвечающих нормативному состоянию;</w:t>
            </w:r>
          </w:p>
        </w:tc>
      </w:tr>
      <w:tr w:rsidR="002F08C6" w:rsidTr="002F08C6">
        <w:trPr>
          <w:trHeight w:val="267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- протяженность построенных пешеходных тротуаров;</w:t>
            </w:r>
          </w:p>
        </w:tc>
      </w:tr>
      <w:tr w:rsidR="002F08C6" w:rsidTr="002F08C6">
        <w:trPr>
          <w:trHeight w:val="667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 - протяженность построенных линий освещения вдоль автомобильных дорог;</w:t>
            </w:r>
          </w:p>
        </w:tc>
      </w:tr>
      <w:tr w:rsidR="002F08C6" w:rsidTr="002F08C6">
        <w:trPr>
          <w:trHeight w:val="89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Этапы и сроки реализации программы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- реализация программы рассчитана на 4 года (с 2015 года по 2018 год) в один этап, обеспечивающий непрерывность решения поставленных задач. </w:t>
            </w:r>
          </w:p>
        </w:tc>
      </w:tr>
      <w:tr w:rsidR="002F08C6" w:rsidTr="002F08C6">
        <w:trPr>
          <w:trHeight w:val="533"/>
        </w:trPr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Источники финансирования программы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Общий объем финансирования мероприятий программы в 2015 - 2025 годах </w:t>
            </w:r>
            <w:r>
              <w:rPr>
                <w:rFonts w:ascii="Times New Roman" w:eastAsia="Times New Roman" w:hAnsi="Times New Roman"/>
                <w:color w:val="FF0000"/>
                <w:sz w:val="24"/>
              </w:rPr>
              <w:t>составит 5 761,6 тыс.  рублей.</w:t>
            </w:r>
          </w:p>
        </w:tc>
      </w:tr>
      <w:tr w:rsidR="002F08C6" w:rsidTr="002F08C6">
        <w:trPr>
          <w:trHeight w:val="54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Из них: на "Развитие автомобильных дорог внутрипоселеческого значения " на 2015 - 2025 годы 5 761,6 тыс.  рублей, в том числе по годам:</w:t>
            </w:r>
          </w:p>
        </w:tc>
      </w:tr>
      <w:tr w:rsidR="002F08C6" w:rsidTr="002F08C6">
        <w:trPr>
          <w:trHeight w:val="37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FF0000"/>
                <w:sz w:val="24"/>
              </w:rPr>
              <w:t>в 2015 году – 321,2 тыс.рублей;</w:t>
            </w:r>
          </w:p>
        </w:tc>
      </w:tr>
      <w:tr w:rsidR="002F08C6" w:rsidTr="002F08C6">
        <w:trPr>
          <w:trHeight w:val="37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FF0000"/>
                <w:sz w:val="24"/>
              </w:rPr>
              <w:t>в 2016 году – 401,5 тыс.рублей;</w:t>
            </w:r>
          </w:p>
        </w:tc>
      </w:tr>
      <w:tr w:rsidR="002F08C6" w:rsidTr="002F08C6">
        <w:trPr>
          <w:trHeight w:val="37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в 2017 году – 420,8 тыс.рублей;</w:t>
            </w:r>
          </w:p>
        </w:tc>
      </w:tr>
      <w:tr w:rsidR="002F08C6" w:rsidTr="002F08C6">
        <w:trPr>
          <w:trHeight w:val="37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В 2018 году – 903,0 тыс.рублей;</w:t>
            </w:r>
          </w:p>
        </w:tc>
      </w:tr>
      <w:tr w:rsidR="002F08C6" w:rsidTr="002F08C6">
        <w:trPr>
          <w:trHeight w:val="37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В 2019 году – 440,6 тыс.рублей;</w:t>
            </w:r>
          </w:p>
        </w:tc>
      </w:tr>
      <w:tr w:rsidR="002F08C6" w:rsidTr="002F08C6">
        <w:trPr>
          <w:trHeight w:val="37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В 2020 году – 467,0 тыс.рублей;</w:t>
            </w:r>
          </w:p>
        </w:tc>
      </w:tr>
      <w:tr w:rsidR="002F08C6" w:rsidTr="002F08C6">
        <w:trPr>
          <w:trHeight w:val="37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В 2021 году – 488,9 тыс.рублей;</w:t>
            </w:r>
          </w:p>
        </w:tc>
      </w:tr>
      <w:tr w:rsidR="002F08C6" w:rsidTr="002F08C6">
        <w:trPr>
          <w:trHeight w:val="37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В 2022 году – 525,2 тыс.рублей;</w:t>
            </w:r>
          </w:p>
        </w:tc>
      </w:tr>
      <w:tr w:rsidR="002F08C6" w:rsidTr="002F08C6">
        <w:trPr>
          <w:trHeight w:val="37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В 2023 году – 561,5 тыс.рублей;</w:t>
            </w:r>
          </w:p>
        </w:tc>
      </w:tr>
      <w:tr w:rsidR="002F08C6" w:rsidTr="002F08C6">
        <w:trPr>
          <w:trHeight w:val="37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В 2024 году – 597,8 тыс.рублей;</w:t>
            </w:r>
          </w:p>
        </w:tc>
      </w:tr>
      <w:tr w:rsidR="002F08C6" w:rsidTr="002F08C6">
        <w:trPr>
          <w:trHeight w:val="37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В 2025 году – 634,1 тыс.рублей</w:t>
            </w:r>
          </w:p>
        </w:tc>
      </w:tr>
      <w:tr w:rsidR="002F08C6" w:rsidTr="002F08C6">
        <w:trPr>
          <w:trHeight w:val="8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Финансирование осуществляется за счет средств республиканского бюджета Республики Мордовия (Дорожного фонда Республики Мордовия):</w:t>
            </w:r>
          </w:p>
        </w:tc>
      </w:tr>
      <w:tr w:rsidR="002F08C6" w:rsidTr="002F08C6">
        <w:trPr>
          <w:trHeight w:val="567"/>
        </w:trPr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Ожидаемые результаты реализации программы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В результате реализации программы к 2025 году предполагается получить следующие результаты.</w:t>
            </w:r>
          </w:p>
        </w:tc>
      </w:tr>
      <w:tr w:rsidR="002F08C6" w:rsidTr="002F08C6">
        <w:trPr>
          <w:trHeight w:val="316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Увеличится:</w:t>
            </w:r>
          </w:p>
        </w:tc>
      </w:tr>
      <w:tr w:rsidR="002F08C6" w:rsidTr="002F08C6">
        <w:trPr>
          <w:trHeight w:val="57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- протяженность участков автомобильных дорог внутрипоселенческого значения, прошедших капитальный ремонт и ремонт на 18,4 км;</w:t>
            </w:r>
          </w:p>
        </w:tc>
      </w:tr>
      <w:tr w:rsidR="002F08C6" w:rsidTr="002F08C6">
        <w:trPr>
          <w:trHeight w:val="543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- количество отремонтированных переездов, отвечающих нормативному состоянию на 3 шт.;</w:t>
            </w:r>
          </w:p>
        </w:tc>
      </w:tr>
      <w:tr w:rsidR="002F08C6" w:rsidTr="002F08C6">
        <w:trPr>
          <w:trHeight w:val="2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- протяженность построенных пешеходных тротуаров на 1,1 км;</w:t>
            </w:r>
          </w:p>
        </w:tc>
      </w:tr>
      <w:tr w:rsidR="002F08C6" w:rsidTr="002F08C6">
        <w:trPr>
          <w:trHeight w:val="483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- протяженность построенных барьерных ограждений на автомобильных дорогах на 0,5км;</w:t>
            </w:r>
          </w:p>
        </w:tc>
      </w:tr>
      <w:tr w:rsidR="002F08C6" w:rsidTr="002F08C6">
        <w:trPr>
          <w:trHeight w:val="558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- протяженность построенных линий освещения вдоль автомобильных дорог на 1,1 км;</w:t>
            </w:r>
          </w:p>
        </w:tc>
      </w:tr>
    </w:tbl>
    <w:p w:rsidR="002F08C6" w:rsidRDefault="002F08C6" w:rsidP="002F08C6">
      <w:pPr>
        <w:jc w:val="right"/>
        <w:rPr>
          <w:rFonts w:ascii="Times New Roman" w:eastAsia="Lucida Sans Unicode" w:hAnsi="Times New Roman"/>
          <w:kern w:val="2"/>
          <w:sz w:val="24"/>
        </w:rPr>
      </w:pPr>
    </w:p>
    <w:p w:rsidR="002F08C6" w:rsidRDefault="002F08C6" w:rsidP="002F08C6">
      <w:pPr>
        <w:jc w:val="center"/>
        <w:rPr>
          <w:rStyle w:val="a6"/>
          <w:rFonts w:ascii="Arial" w:hAnsi="Arial"/>
        </w:rPr>
      </w:pPr>
      <w:r>
        <w:rPr>
          <w:rStyle w:val="a6"/>
          <w:sz w:val="24"/>
        </w:rPr>
        <w:t xml:space="preserve">I. СОДЕРЖАНИЕ ПРОБЛЕМЫ </w:t>
      </w:r>
    </w:p>
    <w:p w:rsidR="002F08C6" w:rsidRDefault="002F08C6" w:rsidP="002F08C6">
      <w:pPr>
        <w:jc w:val="center"/>
        <w:rPr>
          <w:rFonts w:ascii="Times New Roman" w:hAnsi="Times New Roman"/>
        </w:rPr>
      </w:pPr>
      <w:r>
        <w:rPr>
          <w:rStyle w:val="a6"/>
          <w:sz w:val="24"/>
        </w:rPr>
        <w:t>И ОБОСНОВАНИЕ НЕОБХОДИМОСТИ РЕШЕНИЯ ЕЕ ПРОГРАММНЫМ МЕТОДОМ</w:t>
      </w:r>
    </w:p>
    <w:p w:rsidR="002F08C6" w:rsidRDefault="002F08C6" w:rsidP="002F08C6">
      <w:pPr>
        <w:rPr>
          <w:rFonts w:ascii="Times New Roman" w:hAnsi="Times New Roman"/>
          <w:sz w:val="24"/>
        </w:rPr>
      </w:pPr>
      <w:r>
        <w:rPr>
          <w:rStyle w:val="a6"/>
          <w:color w:val="5F5F5F"/>
          <w:sz w:val="24"/>
        </w:rPr>
        <w:t> </w:t>
      </w:r>
    </w:p>
    <w:p w:rsidR="002F08C6" w:rsidRDefault="002F08C6" w:rsidP="002F08C6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         Дорожное хозяйство Медаевского сельского поселения является одним из элементов транспортной инфраструктуры муниципального образования, который обеспечивает конституционные гарантии граждан на свободу передвижения и делает возможным свободное перемещение товаров и услуг. Наличием и состоянием сети автомобильных дорог определяется территориальная целостность и единство экономического пространства. Недооценка роли автомобильных дорог является одной из причин экономических трудностей и негативных социальных процессов.</w:t>
      </w:r>
    </w:p>
    <w:p w:rsidR="002F08C6" w:rsidRDefault="002F08C6" w:rsidP="002F08C6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Актуальность разработки Программы обусловлена как социальными, так и экономическими факторами и направлена на повышение эффективности расходов средств бюджета, сохранение и совершенствование сети автомобильных дорог местного значения.</w:t>
      </w:r>
    </w:p>
    <w:p w:rsidR="002F08C6" w:rsidRDefault="002F08C6" w:rsidP="002F08C6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         Программа содержит характеристики и механизм реализации мероприятий по капитальному ремонту, ремонту и содержанию автомобильных дорог общего пользования местного значения и сооружений на них на период с 2015 по 2018 годы.</w:t>
      </w:r>
    </w:p>
    <w:p w:rsidR="002F08C6" w:rsidRDefault="002F08C6" w:rsidP="002F08C6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         Разработка реализации Программы позволят комплексно подойти к развитию автомобильных дорог, искусственных сооружений и технических средств организации дорожного движения, обеспечить их согласованное развитие и функционирование, соответственно, более эффективное использование финансовых и материальных ресурсов. Процесс совершенствования автомобильных дорог окажет существенное влияние на социально-экономическое развитие муниципального образования.</w:t>
      </w:r>
    </w:p>
    <w:p w:rsidR="002F08C6" w:rsidRDefault="002F08C6" w:rsidP="002F08C6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         Основные требования, предъявляемые к автомобильным дорогам – обеспечение удобства и безопасности движения транспорта и пешеходов.</w:t>
      </w:r>
    </w:p>
    <w:p w:rsidR="002F08C6" w:rsidRDefault="002F08C6" w:rsidP="002F08C6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         По состоянию на 01.01.2015 года сеть автомобильных дорог Медаевского сельского поселения составляет </w:t>
      </w:r>
      <w:smartTag w:uri="urn:schemas-microsoft-com:office:smarttags" w:element="metricconverter">
        <w:smartTagPr>
          <w:attr w:name="ProductID" w:val="32,8 км"/>
        </w:smartTagPr>
        <w:r>
          <w:rPr>
            <w:rFonts w:ascii="Times New Roman" w:hAnsi="Times New Roman"/>
            <w:sz w:val="24"/>
          </w:rPr>
          <w:t>32,8 км</w:t>
        </w:r>
      </w:smartTag>
      <w:r>
        <w:rPr>
          <w:rFonts w:ascii="Times New Roman" w:hAnsi="Times New Roman"/>
          <w:sz w:val="24"/>
        </w:rPr>
        <w:t>. В настоящее время автомобильные дороги сельского поселения находятся в сложном положении. Качество дорожных покрытий большинства дорог не соответствует эксплуатационным требованиям.</w:t>
      </w:r>
    </w:p>
    <w:p w:rsidR="002F08C6" w:rsidRDefault="002F08C6" w:rsidP="002F08C6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         Увеличение количества транспорта на дорогах сельского поселения в сочетании с недостатками эксплуатационного состояния автомобильных дорог, требует комплексного подхода и принятия неотложных мер по капитальному ремонту, ремонту и содержанию дорог местного значения, совершенствованию организации дорожного движения.</w:t>
      </w:r>
    </w:p>
    <w:p w:rsidR="002F08C6" w:rsidRDefault="002F08C6" w:rsidP="002F08C6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         В условиях существующего положения первоочередной задачей остается сохранение и развитие автомобильных дорог Медаевского сельского поселения, поддержание их транспортного состояния, обеспечение безопасного, бесперебойного движения транспорта.</w:t>
      </w:r>
    </w:p>
    <w:p w:rsidR="002F08C6" w:rsidRDefault="002F08C6" w:rsidP="002F08C6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         Реализация Программы позволит:</w:t>
      </w:r>
    </w:p>
    <w:p w:rsidR="002F08C6" w:rsidRDefault="002F08C6" w:rsidP="002F08C6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определить уровень содержания сельских дорог и перспективы их развития;</w:t>
      </w:r>
    </w:p>
    <w:p w:rsidR="002F08C6" w:rsidRDefault="002F08C6" w:rsidP="002F08C6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установить необходимые виды и объемы дорожных работ, источники и размеры их финансирования для выполнения взятых обязательств;</w:t>
      </w:r>
    </w:p>
    <w:p w:rsidR="002F08C6" w:rsidRDefault="002F08C6" w:rsidP="002F08C6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сформировать расходные обязательства по задачам, сконцентрировав финансовые ресурсы на реализации приоритетных задач.</w:t>
      </w:r>
    </w:p>
    <w:p w:rsidR="002F08C6" w:rsidRDefault="002F08C6" w:rsidP="002F08C6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 </w:t>
      </w:r>
    </w:p>
    <w:p w:rsidR="002F08C6" w:rsidRDefault="002F08C6" w:rsidP="002F08C6">
      <w:pPr>
        <w:jc w:val="center"/>
        <w:rPr>
          <w:rFonts w:ascii="Times New Roman" w:hAnsi="Times New Roman"/>
          <w:sz w:val="24"/>
        </w:rPr>
      </w:pPr>
      <w:r>
        <w:rPr>
          <w:rStyle w:val="a6"/>
          <w:sz w:val="24"/>
        </w:rPr>
        <w:t>II. ЦЕЛИ И ЗАДАЧИ ПРОГРАММЫ</w:t>
      </w:r>
    </w:p>
    <w:p w:rsidR="002F08C6" w:rsidRDefault="002F08C6" w:rsidP="002F08C6">
      <w:pPr>
        <w:rPr>
          <w:rFonts w:ascii="Times New Roman" w:hAnsi="Times New Roman"/>
          <w:sz w:val="24"/>
        </w:rPr>
      </w:pPr>
      <w:r>
        <w:rPr>
          <w:rStyle w:val="a6"/>
          <w:color w:val="5F5F5F"/>
          <w:sz w:val="24"/>
        </w:rPr>
        <w:t> </w:t>
      </w:r>
    </w:p>
    <w:p w:rsidR="002F08C6" w:rsidRDefault="002F08C6" w:rsidP="002F08C6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         Целью Программы является выполнение полномочий, связанных с организацией дорожной деятельности, сохранение и совершенствование сети автомобильных дорог местного значения.</w:t>
      </w:r>
    </w:p>
    <w:p w:rsidR="002F08C6" w:rsidRDefault="002F08C6" w:rsidP="002F08C6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Достижение цели Программы будет осуществляться путем выполнения следующих задач:</w:t>
      </w:r>
    </w:p>
    <w:p w:rsidR="002F08C6" w:rsidRDefault="002F08C6" w:rsidP="002F08C6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- повышение уровня содержания сети автомобильных дорог местного значения;</w:t>
      </w:r>
    </w:p>
    <w:p w:rsidR="002F08C6" w:rsidRDefault="002F08C6" w:rsidP="002F08C6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восстановление первоначальных транспортно-эксплуатационных характеристик и потребительских свойств автодорог и сооружений на них;</w:t>
      </w:r>
    </w:p>
    <w:p w:rsidR="002F08C6" w:rsidRDefault="002F08C6" w:rsidP="002F08C6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снижение доли автомобильных дорог муниципального образования, не соответствующих нормативным требованиям;</w:t>
      </w:r>
    </w:p>
    <w:p w:rsidR="002F08C6" w:rsidRDefault="002F08C6" w:rsidP="002F08C6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повышение эффективности расходов средств бюджета Медаевского сельского поселения на осуществление дорожной деятельности в отношение автомобильных дорог местного значения.</w:t>
      </w:r>
    </w:p>
    <w:p w:rsidR="002F08C6" w:rsidRDefault="002F08C6" w:rsidP="002F08C6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 </w:t>
      </w:r>
    </w:p>
    <w:p w:rsidR="002F08C6" w:rsidRDefault="002F08C6" w:rsidP="002F08C6">
      <w:pPr>
        <w:jc w:val="center"/>
        <w:rPr>
          <w:rFonts w:ascii="Times New Roman" w:hAnsi="Times New Roman"/>
          <w:sz w:val="24"/>
        </w:rPr>
      </w:pPr>
      <w:r>
        <w:rPr>
          <w:rStyle w:val="a6"/>
          <w:sz w:val="24"/>
          <w:lang w:val="en-US"/>
        </w:rPr>
        <w:t>III</w:t>
      </w:r>
      <w:r>
        <w:rPr>
          <w:rStyle w:val="a6"/>
          <w:sz w:val="24"/>
        </w:rPr>
        <w:t>. ОСНОВНЫЕ НАПРАВЛЕНИЯ РЕАЛИЗАЦИИ ПРОГРАММЫ</w:t>
      </w:r>
    </w:p>
    <w:p w:rsidR="002F08C6" w:rsidRDefault="002F08C6" w:rsidP="002F08C6">
      <w:pPr>
        <w:rPr>
          <w:rFonts w:ascii="Times New Roman" w:hAnsi="Times New Roman"/>
          <w:sz w:val="24"/>
        </w:rPr>
      </w:pPr>
      <w:r>
        <w:rPr>
          <w:rStyle w:val="a6"/>
          <w:color w:val="5F5F5F"/>
          <w:sz w:val="24"/>
        </w:rPr>
        <w:t> </w:t>
      </w:r>
    </w:p>
    <w:p w:rsidR="002F08C6" w:rsidRDefault="002F08C6" w:rsidP="002F08C6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 Программа включает в себя комплекс скоординированных мероприятий, необходимых для содержания и восстановления первоначальных транспортно-эксплуатационных характеристик и потребительских свойств автомобильных дорог и сооружений на них и развитие автомобильных дорог Медаевского сельского поселения.</w:t>
      </w:r>
    </w:p>
    <w:p w:rsidR="002F08C6" w:rsidRDefault="002F08C6" w:rsidP="002F08C6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Исходя из целей Программы, предусматриваются основные направления ее реализации:</w:t>
      </w:r>
    </w:p>
    <w:p w:rsidR="002F08C6" w:rsidRDefault="002F08C6" w:rsidP="002F08C6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своевременное и качественное проведение дорожных работ для повышения уровня безопасности дорожного движения;</w:t>
      </w:r>
    </w:p>
    <w:p w:rsidR="002F08C6" w:rsidRDefault="002F08C6" w:rsidP="002F08C6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развитие и совершенствование автомобильных дорог;</w:t>
      </w:r>
    </w:p>
    <w:p w:rsidR="002F08C6" w:rsidRDefault="002F08C6" w:rsidP="002F08C6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совершенствование системы организации дорожного движения.</w:t>
      </w:r>
    </w:p>
    <w:p w:rsidR="002F08C6" w:rsidRDefault="002F08C6" w:rsidP="002F08C6">
      <w:pPr>
        <w:jc w:val="center"/>
        <w:rPr>
          <w:rFonts w:ascii="Times New Roman" w:hAnsi="Times New Roman"/>
          <w:sz w:val="24"/>
        </w:rPr>
      </w:pPr>
    </w:p>
    <w:p w:rsidR="002F08C6" w:rsidRDefault="002F08C6" w:rsidP="002F08C6">
      <w:pPr>
        <w:jc w:val="center"/>
        <w:rPr>
          <w:rFonts w:ascii="Times New Roman" w:hAnsi="Times New Roman"/>
          <w:sz w:val="24"/>
        </w:rPr>
      </w:pPr>
      <w:r>
        <w:rPr>
          <w:rStyle w:val="a6"/>
          <w:sz w:val="24"/>
        </w:rPr>
        <w:t>IV. МЕХАНИЗМ РЕАЛИЗАЦИИ И УПРАВЛЕНИЯ ПРОГРАММОЙ</w:t>
      </w:r>
    </w:p>
    <w:p w:rsidR="002F08C6" w:rsidRDefault="002F08C6" w:rsidP="002F08C6">
      <w:pPr>
        <w:rPr>
          <w:rFonts w:ascii="Times New Roman" w:hAnsi="Times New Roman"/>
          <w:sz w:val="24"/>
        </w:rPr>
      </w:pPr>
      <w:r>
        <w:rPr>
          <w:rStyle w:val="a6"/>
          <w:color w:val="5F5F5F"/>
          <w:sz w:val="24"/>
        </w:rPr>
        <w:t> </w:t>
      </w:r>
    </w:p>
    <w:p w:rsidR="002F08C6" w:rsidRDefault="002F08C6" w:rsidP="002F08C6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Механизм реализации Программы включает в себя систему комплексных мероприятий.</w:t>
      </w:r>
    </w:p>
    <w:p w:rsidR="002F08C6" w:rsidRDefault="002F08C6" w:rsidP="002F08C6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Реализации Программы предусматривает целевое использование средств в соответствии с поставленными задачами.</w:t>
      </w:r>
    </w:p>
    <w:p w:rsidR="002F08C6" w:rsidRDefault="002F08C6" w:rsidP="002F08C6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Планы работ по ремонту (включая капитальный ремонт) и содержанию автомобильных дорог местного значения и сооружений на них составляются ежегодно на основании фактического состояния в пределах лимитов финансирования.  </w:t>
      </w:r>
    </w:p>
    <w:p w:rsidR="002F08C6" w:rsidRDefault="002F08C6" w:rsidP="002F08C6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 ходе реализации Программы отдельные ее мероприятия в установленном порядке могут уточняться, а объем расходов бюджетов – корректироваться.</w:t>
      </w:r>
    </w:p>
    <w:p w:rsidR="002F08C6" w:rsidRDefault="002F08C6" w:rsidP="002F08C6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Основными вопросами, подлежащими контролю в процессе реализации Программы, являются:</w:t>
      </w:r>
    </w:p>
    <w:p w:rsidR="002F08C6" w:rsidRDefault="002F08C6" w:rsidP="002F08C6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- эффективное и целевое использование средств бюджета;</w:t>
      </w:r>
    </w:p>
    <w:p w:rsidR="002F08C6" w:rsidRDefault="002F08C6" w:rsidP="002F08C6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соблюдение законодательства Российской Федерации при проведении торгов, заключении муниципальных контактов на выполнение работ по капитальному ремонту, ремонту и содержанию автомобильных дорог местного значения с подрядной организацией;</w:t>
      </w:r>
    </w:p>
    <w:p w:rsidR="002F08C6" w:rsidRDefault="002F08C6" w:rsidP="002F08C6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осуществление контроля за соблюдением требований строительных норм и правил, государственных стандартов и технических регламентов;</w:t>
      </w:r>
    </w:p>
    <w:p w:rsidR="002F08C6" w:rsidRDefault="002F08C6" w:rsidP="002F08C6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гарантийными обязательствами подрядных организаций по поддержанию требуемого состояния объектов.</w:t>
      </w:r>
    </w:p>
    <w:p w:rsidR="002F08C6" w:rsidRDefault="002F08C6" w:rsidP="002F08C6">
      <w:pPr>
        <w:rPr>
          <w:rFonts w:ascii="Times New Roman" w:hAnsi="Times New Roman"/>
          <w:sz w:val="24"/>
        </w:rPr>
      </w:pPr>
      <w:r>
        <w:rPr>
          <w:rStyle w:val="a6"/>
          <w:color w:val="5F5F5F"/>
          <w:sz w:val="24"/>
        </w:rPr>
        <w:t>  </w:t>
      </w:r>
    </w:p>
    <w:p w:rsidR="002F08C6" w:rsidRDefault="002F08C6" w:rsidP="002F08C6">
      <w:pPr>
        <w:jc w:val="center"/>
        <w:rPr>
          <w:rFonts w:ascii="Times New Roman" w:hAnsi="Times New Roman"/>
          <w:sz w:val="24"/>
        </w:rPr>
      </w:pPr>
      <w:r>
        <w:rPr>
          <w:rStyle w:val="a6"/>
          <w:sz w:val="24"/>
        </w:rPr>
        <w:t>V. РЕСУРСНОЕ ОБЕСПЕЧЕНИЕ РЕАЛИЗАЦИИ ПРОГРАММЫ</w:t>
      </w:r>
    </w:p>
    <w:p w:rsidR="002F08C6" w:rsidRDefault="002F08C6" w:rsidP="002F08C6">
      <w:pPr>
        <w:rPr>
          <w:rFonts w:ascii="Times New Roman" w:hAnsi="Times New Roman"/>
          <w:sz w:val="24"/>
        </w:rPr>
      </w:pPr>
      <w:r>
        <w:rPr>
          <w:rStyle w:val="a6"/>
          <w:color w:val="5F5F5F"/>
          <w:sz w:val="24"/>
        </w:rPr>
        <w:t> </w:t>
      </w:r>
    </w:p>
    <w:p w:rsidR="002F08C6" w:rsidRDefault="002F08C6" w:rsidP="002F08C6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         Финансирование Программы осуществляется за счет бюджетных средств.</w:t>
      </w:r>
    </w:p>
    <w:p w:rsidR="002F08C6" w:rsidRDefault="002F08C6" w:rsidP="002F08C6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Всего на период </w:t>
      </w:r>
      <w:r>
        <w:rPr>
          <w:rFonts w:ascii="Times New Roman" w:hAnsi="Times New Roman"/>
          <w:color w:val="FF0000"/>
          <w:sz w:val="24"/>
        </w:rPr>
        <w:t>5 761,6 т. руб.</w:t>
      </w:r>
    </w:p>
    <w:p w:rsidR="002F08C6" w:rsidRDefault="002F08C6" w:rsidP="002F08C6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 </w:t>
      </w:r>
    </w:p>
    <w:tbl>
      <w:tblPr>
        <w:tblW w:w="15689" w:type="dxa"/>
        <w:tblInd w:w="-601" w:type="dxa"/>
        <w:tblLook w:val="04A0"/>
      </w:tblPr>
      <w:tblGrid>
        <w:gridCol w:w="2694"/>
        <w:gridCol w:w="711"/>
        <w:gridCol w:w="711"/>
        <w:gridCol w:w="711"/>
        <w:gridCol w:w="711"/>
        <w:gridCol w:w="711"/>
        <w:gridCol w:w="711"/>
        <w:gridCol w:w="711"/>
        <w:gridCol w:w="711"/>
        <w:gridCol w:w="711"/>
        <w:gridCol w:w="711"/>
        <w:gridCol w:w="711"/>
        <w:gridCol w:w="5284"/>
      </w:tblGrid>
      <w:tr w:rsidR="002F08C6" w:rsidTr="002F08C6">
        <w:trPr>
          <w:trHeight w:val="541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Наименование и виды расходов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2015 год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2016 год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2017 год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2018 год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2019 год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2020 год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2021 год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2022 год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2023 год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2024 год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2025 год</w:t>
            </w:r>
          </w:p>
        </w:tc>
        <w:tc>
          <w:tcPr>
            <w:tcW w:w="5284" w:type="dxa"/>
            <w:noWrap/>
            <w:vAlign w:val="bottom"/>
          </w:tcPr>
          <w:p w:rsidR="002F08C6" w:rsidRDefault="002F08C6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</w:tr>
      <w:tr w:rsidR="002F08C6" w:rsidTr="002F08C6">
        <w:trPr>
          <w:trHeight w:val="1254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Содержание автомобильных дорог общего пользования и инженерных сооружений на них за счёт средств республиканского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 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-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-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-</w:t>
            </w:r>
          </w:p>
        </w:tc>
        <w:tc>
          <w:tcPr>
            <w:tcW w:w="5284" w:type="dxa"/>
            <w:noWrap/>
            <w:vAlign w:val="bottom"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</w:tr>
      <w:tr w:rsidR="002F08C6" w:rsidTr="002F08C6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Итого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-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-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-</w:t>
            </w:r>
          </w:p>
        </w:tc>
        <w:tc>
          <w:tcPr>
            <w:tcW w:w="5284" w:type="dxa"/>
            <w:noWrap/>
            <w:vAlign w:val="bottom"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</w:tr>
      <w:tr w:rsidR="002F08C6" w:rsidTr="002F08C6">
        <w:trPr>
          <w:trHeight w:val="300"/>
        </w:trPr>
        <w:tc>
          <w:tcPr>
            <w:tcW w:w="2694" w:type="dxa"/>
            <w:noWrap/>
            <w:vAlign w:val="bottom"/>
          </w:tcPr>
          <w:p w:rsidR="002F08C6" w:rsidRDefault="002F08C6">
            <w:pPr>
              <w:rPr>
                <w:rFonts w:ascii="Times New Roman" w:eastAsia="Times New Roman" w:hAnsi="Times New Roman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F08C6" w:rsidRDefault="002F08C6">
            <w:pPr>
              <w:rPr>
                <w:rFonts w:ascii="Times New Roman" w:eastAsia="Times New Roman" w:hAnsi="Times New Roman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F08C6" w:rsidRDefault="002F08C6">
            <w:pPr>
              <w:rPr>
                <w:rFonts w:ascii="Times New Roman" w:eastAsia="Times New Roman" w:hAnsi="Times New Roman"/>
                <w:szCs w:val="20"/>
              </w:rPr>
            </w:pPr>
          </w:p>
        </w:tc>
        <w:tc>
          <w:tcPr>
            <w:tcW w:w="666" w:type="dxa"/>
            <w:noWrap/>
            <w:vAlign w:val="bottom"/>
          </w:tcPr>
          <w:p w:rsidR="002F08C6" w:rsidRDefault="002F08C6">
            <w:pPr>
              <w:rPr>
                <w:rFonts w:ascii="Times New Roman" w:eastAsia="Times New Roman" w:hAnsi="Times New Roman"/>
                <w:szCs w:val="20"/>
              </w:rPr>
            </w:pPr>
          </w:p>
        </w:tc>
        <w:tc>
          <w:tcPr>
            <w:tcW w:w="666" w:type="dxa"/>
            <w:noWrap/>
            <w:vAlign w:val="bottom"/>
          </w:tcPr>
          <w:p w:rsidR="002F08C6" w:rsidRDefault="002F08C6">
            <w:pPr>
              <w:rPr>
                <w:rFonts w:ascii="Times New Roman" w:eastAsia="Times New Roman" w:hAnsi="Times New Roman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F08C6" w:rsidRDefault="002F08C6">
            <w:pPr>
              <w:rPr>
                <w:rFonts w:ascii="Times New Roman" w:eastAsia="Times New Roman" w:hAnsi="Times New Roman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F08C6" w:rsidRDefault="002F08C6">
            <w:pPr>
              <w:rPr>
                <w:rFonts w:ascii="Times New Roman" w:eastAsia="Times New Roman" w:hAnsi="Times New Roman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F08C6" w:rsidRDefault="002F08C6">
            <w:pPr>
              <w:rPr>
                <w:rFonts w:ascii="Times New Roman" w:eastAsia="Times New Roman" w:hAnsi="Times New Roman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F08C6" w:rsidRDefault="002F08C6">
            <w:pPr>
              <w:rPr>
                <w:rFonts w:ascii="Times New Roman" w:eastAsia="Times New Roman" w:hAnsi="Times New Roman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F08C6" w:rsidRDefault="002F08C6">
            <w:pPr>
              <w:rPr>
                <w:rFonts w:ascii="Times New Roman" w:eastAsia="Times New Roman" w:hAnsi="Times New Roman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F08C6" w:rsidRDefault="002F08C6">
            <w:pPr>
              <w:rPr>
                <w:rFonts w:ascii="Times New Roman" w:eastAsia="Times New Roman" w:hAnsi="Times New Roman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F08C6" w:rsidRDefault="002F08C6">
            <w:pPr>
              <w:rPr>
                <w:rFonts w:ascii="Times New Roman" w:eastAsia="Times New Roman" w:hAnsi="Times New Roman"/>
                <w:szCs w:val="20"/>
              </w:rPr>
            </w:pPr>
          </w:p>
        </w:tc>
        <w:tc>
          <w:tcPr>
            <w:tcW w:w="5284" w:type="dxa"/>
            <w:noWrap/>
            <w:vAlign w:val="bottom"/>
          </w:tcPr>
          <w:p w:rsidR="002F08C6" w:rsidRDefault="002F08C6">
            <w:pPr>
              <w:rPr>
                <w:rFonts w:ascii="Times New Roman" w:eastAsia="Times New Roman" w:hAnsi="Times New Roman"/>
                <w:szCs w:val="20"/>
              </w:rPr>
            </w:pPr>
          </w:p>
        </w:tc>
      </w:tr>
      <w:tr w:rsidR="002F08C6" w:rsidTr="002F08C6">
        <w:trPr>
          <w:trHeight w:val="517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Наименование и виды расходов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2015 год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2016 год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2017 год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2018 год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2019 год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2020 год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2021 год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2022 год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2023 год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2024 год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2025 год</w:t>
            </w:r>
          </w:p>
        </w:tc>
        <w:tc>
          <w:tcPr>
            <w:tcW w:w="5284" w:type="dxa"/>
            <w:noWrap/>
            <w:vAlign w:val="bottom"/>
          </w:tcPr>
          <w:p w:rsidR="002F08C6" w:rsidRDefault="002F08C6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</w:tr>
      <w:tr w:rsidR="002F08C6" w:rsidTr="002F08C6">
        <w:trPr>
          <w:trHeight w:val="300"/>
        </w:trPr>
        <w:tc>
          <w:tcPr>
            <w:tcW w:w="26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  <w:bookmarkStart w:id="1" w:name="_Hlk54343273"/>
            <w:r>
              <w:rPr>
                <w:rFonts w:ascii="Times New Roman" w:eastAsia="Times New Roman" w:hAnsi="Times New Roman"/>
                <w:color w:val="000000"/>
                <w:szCs w:val="20"/>
              </w:rPr>
              <w:t>Содержание автомобильных дорог общего пользования и инженерных сооружений на них за счёт средств местного бюджета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321,2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401,5</w:t>
            </w:r>
          </w:p>
        </w:tc>
        <w:tc>
          <w:tcPr>
            <w:tcW w:w="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420,8</w:t>
            </w:r>
          </w:p>
        </w:tc>
        <w:tc>
          <w:tcPr>
            <w:tcW w:w="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903,0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440,6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467,0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488,9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525,2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561,5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597,8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634,1</w:t>
            </w:r>
          </w:p>
        </w:tc>
        <w:tc>
          <w:tcPr>
            <w:tcW w:w="5284" w:type="dxa"/>
            <w:noWrap/>
            <w:vAlign w:val="bottom"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</w:tr>
      <w:bookmarkEnd w:id="1"/>
      <w:tr w:rsidR="002F08C6" w:rsidTr="002F08C6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  <w:tc>
          <w:tcPr>
            <w:tcW w:w="5284" w:type="dxa"/>
            <w:noWrap/>
            <w:vAlign w:val="bottom"/>
          </w:tcPr>
          <w:p w:rsidR="002F08C6" w:rsidRDefault="002F08C6">
            <w:pPr>
              <w:rPr>
                <w:rFonts w:ascii="Times New Roman" w:eastAsia="Times New Roman" w:hAnsi="Times New Roman"/>
                <w:szCs w:val="20"/>
              </w:rPr>
            </w:pPr>
          </w:p>
        </w:tc>
      </w:tr>
      <w:tr w:rsidR="002F08C6" w:rsidTr="002F08C6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  <w:tc>
          <w:tcPr>
            <w:tcW w:w="5284" w:type="dxa"/>
            <w:noWrap/>
            <w:vAlign w:val="bottom"/>
          </w:tcPr>
          <w:p w:rsidR="002F08C6" w:rsidRDefault="002F08C6">
            <w:pPr>
              <w:rPr>
                <w:rFonts w:ascii="Times New Roman" w:eastAsia="Times New Roman" w:hAnsi="Times New Roman"/>
                <w:szCs w:val="20"/>
              </w:rPr>
            </w:pPr>
          </w:p>
        </w:tc>
      </w:tr>
      <w:tr w:rsidR="002F08C6" w:rsidTr="002F08C6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  <w:tc>
          <w:tcPr>
            <w:tcW w:w="5284" w:type="dxa"/>
            <w:noWrap/>
            <w:vAlign w:val="bottom"/>
          </w:tcPr>
          <w:p w:rsidR="002F08C6" w:rsidRDefault="002F08C6">
            <w:pPr>
              <w:rPr>
                <w:rFonts w:ascii="Times New Roman" w:eastAsia="Times New Roman" w:hAnsi="Times New Roman"/>
                <w:szCs w:val="20"/>
              </w:rPr>
            </w:pPr>
          </w:p>
        </w:tc>
      </w:tr>
      <w:tr w:rsidR="002F08C6" w:rsidTr="002F08C6">
        <w:trPr>
          <w:trHeight w:val="7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  <w:tc>
          <w:tcPr>
            <w:tcW w:w="5284" w:type="dxa"/>
            <w:noWrap/>
            <w:vAlign w:val="bottom"/>
          </w:tcPr>
          <w:p w:rsidR="002F08C6" w:rsidRDefault="002F08C6">
            <w:pPr>
              <w:rPr>
                <w:rFonts w:ascii="Times New Roman" w:eastAsia="Times New Roman" w:hAnsi="Times New Roman"/>
                <w:szCs w:val="20"/>
              </w:rPr>
            </w:pPr>
          </w:p>
        </w:tc>
      </w:tr>
      <w:tr w:rsidR="002F08C6" w:rsidTr="002F08C6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lastRenderedPageBreak/>
              <w:t>Итого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321,2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401,5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420,8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903,0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440,6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467,0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488,9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525,2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561,5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597,8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634,1</w:t>
            </w:r>
          </w:p>
        </w:tc>
        <w:tc>
          <w:tcPr>
            <w:tcW w:w="5284" w:type="dxa"/>
            <w:noWrap/>
            <w:vAlign w:val="bottom"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</w:tr>
    </w:tbl>
    <w:p w:rsidR="002F08C6" w:rsidRDefault="002F08C6" w:rsidP="002F08C6">
      <w:pPr>
        <w:rPr>
          <w:rFonts w:ascii="Times New Roman" w:eastAsia="Lucida Sans Unicode" w:hAnsi="Times New Roman"/>
          <w:kern w:val="2"/>
          <w:sz w:val="24"/>
        </w:rPr>
      </w:pPr>
    </w:p>
    <w:p w:rsidR="002F08C6" w:rsidRDefault="002F08C6" w:rsidP="002F08C6">
      <w:pPr>
        <w:rPr>
          <w:rFonts w:ascii="Times New Roman" w:hAnsi="Times New Roman"/>
          <w:sz w:val="24"/>
        </w:rPr>
      </w:pPr>
    </w:p>
    <w:p w:rsidR="002F08C6" w:rsidRDefault="002F08C6" w:rsidP="002F08C6">
      <w:pPr>
        <w:jc w:val="center"/>
        <w:rPr>
          <w:rFonts w:ascii="Times New Roman" w:hAnsi="Times New Roman"/>
          <w:sz w:val="24"/>
        </w:rPr>
      </w:pPr>
      <w:r>
        <w:rPr>
          <w:rStyle w:val="a6"/>
          <w:sz w:val="24"/>
        </w:rPr>
        <w:t>VI. ОЦЕНКА СОЦИАЛЬНО - ЭКОНОМИЧЕСКОЙ</w:t>
      </w:r>
    </w:p>
    <w:p w:rsidR="002F08C6" w:rsidRDefault="002F08C6" w:rsidP="002F08C6">
      <w:pPr>
        <w:jc w:val="center"/>
        <w:rPr>
          <w:rFonts w:ascii="Times New Roman" w:hAnsi="Times New Roman"/>
          <w:sz w:val="24"/>
        </w:rPr>
      </w:pPr>
      <w:r>
        <w:rPr>
          <w:rStyle w:val="a6"/>
          <w:sz w:val="24"/>
        </w:rPr>
        <w:t>ЭФФЕКТИВНОСТИ ПРОГРАММЫ</w:t>
      </w:r>
    </w:p>
    <w:p w:rsidR="002F08C6" w:rsidRDefault="002F08C6" w:rsidP="002F08C6">
      <w:pPr>
        <w:rPr>
          <w:rFonts w:ascii="Times New Roman" w:hAnsi="Times New Roman"/>
          <w:sz w:val="24"/>
        </w:rPr>
      </w:pPr>
      <w:r>
        <w:rPr>
          <w:rStyle w:val="a6"/>
          <w:color w:val="5F5F5F"/>
          <w:sz w:val="24"/>
        </w:rPr>
        <w:t> </w:t>
      </w:r>
    </w:p>
    <w:p w:rsidR="002F08C6" w:rsidRDefault="002F08C6" w:rsidP="002F08C6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 соответствии с целью и задачами Программы основной эффект от реализации ее мероприятий имеет, прежде всего социальную направленность, стимулирующую активизацию экономической деятельности:</w:t>
      </w:r>
    </w:p>
    <w:p w:rsidR="002F08C6" w:rsidRDefault="002F08C6" w:rsidP="002F08C6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 развитие и совершенствование автомобильных дорог, улучшение их технического состояния;</w:t>
      </w:r>
    </w:p>
    <w:p w:rsidR="002F08C6" w:rsidRDefault="002F08C6" w:rsidP="002F08C6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обеспечение безопасности дорожного движения.</w:t>
      </w:r>
    </w:p>
    <w:p w:rsidR="002F08C6" w:rsidRDefault="002F08C6" w:rsidP="002F08C6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За 2015-2025 гг. планируется выполнить следующие показатели:</w:t>
      </w:r>
    </w:p>
    <w:p w:rsidR="002F08C6" w:rsidRDefault="002F08C6" w:rsidP="002F08C6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Увеличится:</w:t>
      </w:r>
    </w:p>
    <w:p w:rsidR="002F08C6" w:rsidRDefault="002F08C6" w:rsidP="002F08C6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протяженность участков автомобильных дорог внутрипоселенческого значения, прошедших капитальный ремонт и ремонт на 18,4 км;</w:t>
      </w:r>
    </w:p>
    <w:p w:rsidR="002F08C6" w:rsidRDefault="002F08C6" w:rsidP="002F08C6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количество отремонтированных переездов, отвечающих нормативному состоянию на 3 шт.;</w:t>
      </w:r>
    </w:p>
    <w:p w:rsidR="002F08C6" w:rsidRDefault="002F08C6" w:rsidP="002F08C6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протяженность построенных пешеходных тротуаров на 1,1 км;</w:t>
      </w:r>
    </w:p>
    <w:p w:rsidR="002F08C6" w:rsidRDefault="002F08C6" w:rsidP="002F08C6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протяженность построенных барьерных ограждений на автомобильных дорогах на 0,5км;</w:t>
      </w:r>
    </w:p>
    <w:p w:rsidR="002F08C6" w:rsidRDefault="002F08C6" w:rsidP="002F08C6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протяженность построенных линий освещения вдоль автомобильных дорог на 1,1 км;</w:t>
      </w:r>
    </w:p>
    <w:p w:rsidR="002F08C6" w:rsidRDefault="002F08C6" w:rsidP="002F08C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/>
          <w:sz w:val="24"/>
        </w:rPr>
        <w:t>- приведение в нормативное состояние не менее 9,0 тыс. кв.м. автомобильных дорог;</w:t>
      </w:r>
    </w:p>
    <w:p w:rsidR="002F08C6" w:rsidRDefault="002F08C6" w:rsidP="002F08C6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увеличение объемов финансовых вложений в развитие автомобильных дорог на территории Медаевского сельского поселения в расчете на одного жителя ежегодно не менее 1%;</w:t>
      </w:r>
    </w:p>
    <w:p w:rsidR="002F08C6" w:rsidRDefault="002F08C6" w:rsidP="002F08C6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Оценка эффективности реализации Программы осуществляется по критерии финансовых вложений (К</w:t>
      </w:r>
      <w:r>
        <w:rPr>
          <w:rFonts w:ascii="Times New Roman" w:hAnsi="Times New Roman"/>
          <w:sz w:val="24"/>
          <w:vertAlign w:val="subscript"/>
        </w:rPr>
        <w:t>фв</w:t>
      </w:r>
      <w:r>
        <w:rPr>
          <w:rFonts w:ascii="Times New Roman" w:hAnsi="Times New Roman"/>
          <w:sz w:val="24"/>
        </w:rPr>
        <w:t>) – отражает увеличение объемов финансовых вложений на содержание и ремонт автомобильных дорог на территории Большеремезёнского сельского поселения в расчете на одного жителя:</w:t>
      </w:r>
    </w:p>
    <w:p w:rsidR="002F08C6" w:rsidRDefault="002F08C6" w:rsidP="002F08C6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 </w:t>
      </w:r>
    </w:p>
    <w:tbl>
      <w:tblPr>
        <w:tblW w:w="4492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831"/>
        <w:gridCol w:w="445"/>
        <w:gridCol w:w="566"/>
        <w:gridCol w:w="331"/>
        <w:gridCol w:w="2319"/>
      </w:tblGrid>
      <w:tr w:rsidR="002F08C6" w:rsidTr="002F08C6">
        <w:trPr>
          <w:trHeight w:val="702"/>
          <w:tblCellSpacing w:w="0" w:type="dxa"/>
        </w:trPr>
        <w:tc>
          <w:tcPr>
            <w:tcW w:w="831" w:type="dxa"/>
            <w:hideMark/>
          </w:tcPr>
          <w:p w:rsidR="002F08C6" w:rsidRDefault="002F08C6">
            <w:pPr>
              <w:widowControl w:val="0"/>
              <w:suppressAutoHyphens/>
              <w:rPr>
                <w:rFonts w:ascii="Times New Roman" w:eastAsia="Lucida Sans Unicode" w:hAnsi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К</w:t>
            </w:r>
            <w:r>
              <w:rPr>
                <w:rFonts w:ascii="Times New Roman" w:hAnsi="Times New Roman"/>
                <w:sz w:val="24"/>
                <w:vertAlign w:val="subscript"/>
              </w:rPr>
              <w:t xml:space="preserve">фв </w:t>
            </w:r>
            <w:r>
              <w:rPr>
                <w:rFonts w:ascii="Times New Roman" w:hAnsi="Times New Roman"/>
                <w:sz w:val="24"/>
              </w:rPr>
              <w:t>= (</w:t>
            </w:r>
          </w:p>
        </w:tc>
        <w:tc>
          <w:tcPr>
            <w:tcW w:w="445" w:type="dxa"/>
            <w:hideMark/>
          </w:tcPr>
          <w:p w:rsidR="002F08C6" w:rsidRDefault="002F08C6">
            <w:pPr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u w:val="single"/>
              </w:rPr>
              <w:t>О</w:t>
            </w:r>
            <w:r>
              <w:rPr>
                <w:rFonts w:ascii="Times New Roman" w:hAnsi="Times New Roman"/>
                <w:sz w:val="24"/>
                <w:vertAlign w:val="subscript"/>
              </w:rPr>
              <w:t>2</w:t>
            </w:r>
          </w:p>
          <w:p w:rsidR="002F08C6" w:rsidRDefault="002F08C6">
            <w:pPr>
              <w:widowControl w:val="0"/>
              <w:suppressAutoHyphens/>
              <w:rPr>
                <w:rFonts w:ascii="Times New Roman" w:eastAsia="Lucida Sans Unicode" w:hAnsi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Ч</w:t>
            </w:r>
            <w:r>
              <w:rPr>
                <w:rFonts w:ascii="Times New Roman" w:hAnsi="Times New Roman"/>
                <w:sz w:val="24"/>
                <w:vertAlign w:val="subscript"/>
              </w:rPr>
              <w:t>2</w:t>
            </w:r>
          </w:p>
        </w:tc>
        <w:tc>
          <w:tcPr>
            <w:tcW w:w="566" w:type="dxa"/>
            <w:hideMark/>
          </w:tcPr>
          <w:p w:rsidR="002F08C6" w:rsidRDefault="002F08C6">
            <w:pPr>
              <w:widowControl w:val="0"/>
              <w:suppressAutoHyphens/>
              <w:rPr>
                <w:rFonts w:ascii="Times New Roman" w:eastAsia="Lucida Sans Unicode" w:hAnsi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:</w:t>
            </w:r>
          </w:p>
        </w:tc>
        <w:tc>
          <w:tcPr>
            <w:tcW w:w="331" w:type="dxa"/>
            <w:hideMark/>
          </w:tcPr>
          <w:p w:rsidR="002F08C6" w:rsidRDefault="002F08C6">
            <w:pPr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u w:val="single"/>
              </w:rPr>
              <w:t>О</w:t>
            </w:r>
            <w:r>
              <w:rPr>
                <w:rFonts w:ascii="Times New Roman" w:hAnsi="Times New Roman"/>
                <w:sz w:val="24"/>
                <w:vertAlign w:val="subscript"/>
              </w:rPr>
              <w:t>1</w:t>
            </w:r>
          </w:p>
          <w:p w:rsidR="002F08C6" w:rsidRDefault="002F08C6">
            <w:pPr>
              <w:widowControl w:val="0"/>
              <w:suppressAutoHyphens/>
              <w:rPr>
                <w:rFonts w:ascii="Times New Roman" w:eastAsia="Lucida Sans Unicode" w:hAnsi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Ч</w:t>
            </w:r>
            <w:r>
              <w:rPr>
                <w:rFonts w:ascii="Times New Roman" w:hAnsi="Times New Roman"/>
                <w:sz w:val="24"/>
                <w:vertAlign w:val="subscript"/>
              </w:rPr>
              <w:t>1</w:t>
            </w:r>
          </w:p>
        </w:tc>
        <w:tc>
          <w:tcPr>
            <w:tcW w:w="2319" w:type="dxa"/>
            <w:hideMark/>
          </w:tcPr>
          <w:p w:rsidR="002F08C6" w:rsidRDefault="002F08C6">
            <w:pPr>
              <w:widowControl w:val="0"/>
              <w:suppressAutoHyphens/>
              <w:rPr>
                <w:rFonts w:ascii="Times New Roman" w:eastAsia="Lucida Sans Unicode" w:hAnsi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) х 100%, где:</w:t>
            </w:r>
          </w:p>
        </w:tc>
      </w:tr>
    </w:tbl>
    <w:p w:rsidR="002F08C6" w:rsidRDefault="002F08C6" w:rsidP="002F08C6">
      <w:pPr>
        <w:jc w:val="center"/>
        <w:rPr>
          <w:rFonts w:ascii="Times New Roman" w:eastAsia="Lucida Sans Unicode" w:hAnsi="Times New Roman"/>
          <w:kern w:val="2"/>
          <w:sz w:val="24"/>
        </w:rPr>
      </w:pPr>
    </w:p>
    <w:p w:rsidR="002F08C6" w:rsidRDefault="002F08C6" w:rsidP="002F08C6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  <w:vertAlign w:val="subscript"/>
        </w:rPr>
        <w:t>1</w:t>
      </w:r>
      <w:r>
        <w:rPr>
          <w:rFonts w:ascii="Times New Roman" w:hAnsi="Times New Roman"/>
          <w:sz w:val="24"/>
        </w:rPr>
        <w:t xml:space="preserve"> – фактический объем финансовых вложений муниципального образования в развитие и содержание автомобильных дорог в предыдущем году;</w:t>
      </w:r>
    </w:p>
    <w:p w:rsidR="002F08C6" w:rsidRDefault="002F08C6" w:rsidP="002F08C6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О</w:t>
      </w:r>
      <w:r>
        <w:rPr>
          <w:rFonts w:ascii="Times New Roman" w:hAnsi="Times New Roman"/>
          <w:sz w:val="24"/>
          <w:vertAlign w:val="subscript"/>
        </w:rPr>
        <w:t xml:space="preserve">2 </w:t>
      </w:r>
      <w:r>
        <w:rPr>
          <w:rFonts w:ascii="Times New Roman" w:hAnsi="Times New Roman"/>
          <w:sz w:val="24"/>
        </w:rPr>
        <w:t>– фактический объем финансовых вложений муниципального образования в развитие и содержание автомобильных дорог в отчетном году;</w:t>
      </w:r>
    </w:p>
    <w:p w:rsidR="002F08C6" w:rsidRDefault="002F08C6" w:rsidP="002F08C6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Ч</w:t>
      </w:r>
      <w:r>
        <w:rPr>
          <w:rFonts w:ascii="Times New Roman" w:hAnsi="Times New Roman"/>
          <w:sz w:val="24"/>
          <w:vertAlign w:val="subscript"/>
        </w:rPr>
        <w:t xml:space="preserve">1 </w:t>
      </w:r>
      <w:r>
        <w:rPr>
          <w:rFonts w:ascii="Times New Roman" w:hAnsi="Times New Roman"/>
          <w:sz w:val="24"/>
        </w:rPr>
        <w:t>– численность жителей муниципального образования   в предыдущем году;</w:t>
      </w:r>
    </w:p>
    <w:p w:rsidR="002F08C6" w:rsidRDefault="002F08C6" w:rsidP="002F08C6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Ч</w:t>
      </w:r>
      <w:r>
        <w:rPr>
          <w:rFonts w:ascii="Times New Roman" w:hAnsi="Times New Roman"/>
          <w:sz w:val="24"/>
          <w:vertAlign w:val="subscript"/>
        </w:rPr>
        <w:t>2</w:t>
      </w:r>
      <w:r>
        <w:rPr>
          <w:rFonts w:ascii="Times New Roman" w:hAnsi="Times New Roman"/>
          <w:sz w:val="24"/>
        </w:rPr>
        <w:t xml:space="preserve"> – численность жителей муниципального образования в отчетном году;</w:t>
      </w:r>
    </w:p>
    <w:p w:rsidR="002F08C6" w:rsidRDefault="002F08C6" w:rsidP="002F08C6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К </w:t>
      </w:r>
      <w:r>
        <w:rPr>
          <w:rFonts w:ascii="Times New Roman" w:hAnsi="Times New Roman"/>
          <w:sz w:val="24"/>
          <w:vertAlign w:val="subscript"/>
        </w:rPr>
        <w:t>бл</w:t>
      </w:r>
      <w:r>
        <w:rPr>
          <w:rFonts w:ascii="Times New Roman" w:hAnsi="Times New Roman"/>
          <w:sz w:val="24"/>
        </w:rPr>
        <w:t xml:space="preserve"> должен быть не менее 1%</w:t>
      </w:r>
    </w:p>
    <w:p w:rsidR="002F08C6" w:rsidRDefault="002F08C6" w:rsidP="002F08C6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 </w:t>
      </w:r>
    </w:p>
    <w:p w:rsidR="002F08C6" w:rsidRDefault="002F08C6" w:rsidP="002F08C6">
      <w:pPr>
        <w:jc w:val="center"/>
        <w:rPr>
          <w:rFonts w:ascii="Times New Roman" w:hAnsi="Times New Roman"/>
          <w:sz w:val="24"/>
        </w:rPr>
      </w:pPr>
      <w:r>
        <w:rPr>
          <w:rStyle w:val="a6"/>
          <w:sz w:val="24"/>
        </w:rPr>
        <w:t>VII.    ВЫПОЛНЕНИЕ ПРОГРАММНЫХ МЕРОПРИЯТИЙ ПО   МУНИЦИПАЛЬНОЙ ЦЕЛЕВОЙ ПРОГРАММЕ</w:t>
      </w:r>
    </w:p>
    <w:p w:rsidR="002F08C6" w:rsidRDefault="002F08C6" w:rsidP="002F08C6">
      <w:pPr>
        <w:jc w:val="center"/>
        <w:rPr>
          <w:rFonts w:ascii="Times New Roman" w:hAnsi="Times New Roman"/>
          <w:sz w:val="24"/>
        </w:rPr>
      </w:pPr>
      <w:r>
        <w:rPr>
          <w:rStyle w:val="a6"/>
          <w:b w:val="0"/>
          <w:bCs w:val="0"/>
          <w:sz w:val="24"/>
        </w:rPr>
        <w:t>Всего по Программе за</w:t>
      </w:r>
      <w:r>
        <w:rPr>
          <w:rStyle w:val="a6"/>
          <w:b w:val="0"/>
          <w:bCs w:val="0"/>
          <w:color w:val="5F5F5F"/>
          <w:sz w:val="24"/>
        </w:rPr>
        <w:t xml:space="preserve"> </w:t>
      </w:r>
      <w:r>
        <w:rPr>
          <w:rStyle w:val="a6"/>
          <w:b w:val="0"/>
          <w:bCs w:val="0"/>
          <w:color w:val="FF0000"/>
          <w:sz w:val="24"/>
        </w:rPr>
        <w:t>2015-2025 годы – 5 761,6 тыс. руб.</w:t>
      </w:r>
    </w:p>
    <w:p w:rsidR="002F08C6" w:rsidRDefault="002F08C6" w:rsidP="002F08C6">
      <w:pPr>
        <w:rPr>
          <w:rFonts w:ascii="Times New Roman" w:hAnsi="Times New Roman"/>
          <w:sz w:val="28"/>
          <w:szCs w:val="28"/>
        </w:rPr>
      </w:pPr>
    </w:p>
    <w:tbl>
      <w:tblPr>
        <w:tblW w:w="10404" w:type="dxa"/>
        <w:tblInd w:w="-601" w:type="dxa"/>
        <w:tblLook w:val="04A0"/>
      </w:tblPr>
      <w:tblGrid>
        <w:gridCol w:w="1623"/>
        <w:gridCol w:w="1595"/>
        <w:gridCol w:w="621"/>
        <w:gridCol w:w="621"/>
        <w:gridCol w:w="672"/>
        <w:gridCol w:w="620"/>
        <w:gridCol w:w="672"/>
        <w:gridCol w:w="620"/>
        <w:gridCol w:w="672"/>
        <w:gridCol w:w="672"/>
        <w:gridCol w:w="672"/>
        <w:gridCol w:w="672"/>
        <w:gridCol w:w="643"/>
        <w:gridCol w:w="29"/>
      </w:tblGrid>
      <w:tr w:rsidR="002F08C6" w:rsidTr="002F08C6">
        <w:trPr>
          <w:gridAfter w:val="1"/>
          <w:wAfter w:w="29" w:type="dxa"/>
          <w:trHeight w:val="315"/>
        </w:trPr>
        <w:tc>
          <w:tcPr>
            <w:tcW w:w="16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 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 xml:space="preserve">Главный распорядитель бюджета </w:t>
            </w:r>
          </w:p>
        </w:tc>
        <w:tc>
          <w:tcPr>
            <w:tcW w:w="15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Программные мероприятия</w:t>
            </w:r>
          </w:p>
        </w:tc>
        <w:tc>
          <w:tcPr>
            <w:tcW w:w="7155" w:type="dxa"/>
            <w:gridSpan w:val="1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Объем финансирования</w:t>
            </w:r>
          </w:p>
        </w:tc>
      </w:tr>
      <w:tr w:rsidR="002F08C6" w:rsidTr="002F08C6">
        <w:trPr>
          <w:trHeight w:val="30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2015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2016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2017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2018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2019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2020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2021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2023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2024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2025</w:t>
            </w:r>
          </w:p>
        </w:tc>
      </w:tr>
      <w:tr w:rsidR="002F08C6" w:rsidTr="002F08C6">
        <w:trPr>
          <w:trHeight w:val="1865"/>
        </w:trPr>
        <w:tc>
          <w:tcPr>
            <w:tcW w:w="16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Администрация Медаевского сельского поселения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Содержание и ремонт автомобильных дорог общего пользования местного значения и инженерных сооружений на них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  <w:t>321,2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  <w:t>401,5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  <w:t>420,8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  <w:t>903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440,6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467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488,9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525,2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561,5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597,8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634,1</w:t>
            </w:r>
          </w:p>
        </w:tc>
      </w:tr>
      <w:tr w:rsidR="002F08C6" w:rsidTr="002F08C6">
        <w:trPr>
          <w:trHeight w:val="1504"/>
        </w:trPr>
        <w:tc>
          <w:tcPr>
            <w:tcW w:w="16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- содержание автомобильных дорог общего пользования и инженерных сооружений на них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2F08C6" w:rsidTr="002F08C6">
        <w:trPr>
          <w:trHeight w:val="1519"/>
        </w:trPr>
        <w:tc>
          <w:tcPr>
            <w:tcW w:w="16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- ремонт автомобильных дорог общего пользования и инженерных сооружений на них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2F08C6" w:rsidTr="002F08C6">
        <w:trPr>
          <w:trHeight w:val="1504"/>
        </w:trPr>
        <w:tc>
          <w:tcPr>
            <w:tcW w:w="16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- капитальный ремонт автомобильных дорог общего пользования и инженерных сооружений на них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2F08C6" w:rsidTr="002F08C6">
        <w:trPr>
          <w:trHeight w:val="300"/>
        </w:trPr>
        <w:tc>
          <w:tcPr>
            <w:tcW w:w="16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lastRenderedPageBreak/>
              <w:t> 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- технический надзор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2F08C6" w:rsidTr="002F08C6">
        <w:trPr>
          <w:trHeight w:val="300"/>
        </w:trPr>
        <w:tc>
          <w:tcPr>
            <w:tcW w:w="16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08C6" w:rsidRDefault="002F08C6">
            <w:pP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 xml:space="preserve">ИТОГО 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bCs/>
                <w:color w:val="FF0000"/>
                <w:sz w:val="18"/>
                <w:szCs w:val="18"/>
              </w:rPr>
              <w:t>321,2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bCs/>
                <w:color w:val="FF0000"/>
                <w:sz w:val="18"/>
                <w:szCs w:val="18"/>
              </w:rPr>
              <w:t>401,5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bCs/>
                <w:color w:val="FF0000"/>
                <w:sz w:val="18"/>
                <w:szCs w:val="18"/>
              </w:rPr>
              <w:t>420,8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bCs/>
                <w:color w:val="FF0000"/>
                <w:sz w:val="18"/>
                <w:szCs w:val="18"/>
              </w:rPr>
              <w:t>903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440,6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467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488,9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525,2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561,5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597,8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08C6" w:rsidRDefault="002F08C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634,1</w:t>
            </w:r>
          </w:p>
        </w:tc>
      </w:tr>
    </w:tbl>
    <w:p w:rsidR="002F08C6" w:rsidRDefault="002F08C6" w:rsidP="002F08C6">
      <w:pPr>
        <w:rPr>
          <w:rFonts w:ascii="Times New Roman" w:eastAsia="Lucida Sans Unicode" w:hAnsi="Times New Roman"/>
          <w:kern w:val="2"/>
          <w:sz w:val="28"/>
          <w:szCs w:val="28"/>
        </w:rPr>
      </w:pPr>
    </w:p>
    <w:p w:rsidR="002F08C6" w:rsidRDefault="002F08C6" w:rsidP="002F08C6">
      <w:pPr>
        <w:rPr>
          <w:rFonts w:ascii="Times New Roman" w:hAnsi="Times New Roman"/>
          <w:sz w:val="28"/>
          <w:szCs w:val="28"/>
        </w:rPr>
      </w:pPr>
    </w:p>
    <w:p w:rsidR="002F08C6" w:rsidRDefault="002F08C6" w:rsidP="002F08C6">
      <w:pPr>
        <w:ind w:firstLine="72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A3237C" w:rsidRDefault="00A3237C"/>
    <w:sectPr w:rsidR="00A323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2F08C6"/>
    <w:rsid w:val="002F08C6"/>
    <w:rsid w:val="00A323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2F08C6"/>
    <w:pPr>
      <w:keepNext/>
      <w:spacing w:before="100" w:beforeAutospacing="1" w:after="100" w:afterAutospacing="1" w:line="240" w:lineRule="auto"/>
      <w:jc w:val="righ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F08C6"/>
    <w:rPr>
      <w:rFonts w:ascii="Times New Roman" w:eastAsia="Times New Roman" w:hAnsi="Times New Roman" w:cs="Times New Roman"/>
      <w:b/>
      <w:bCs/>
      <w:kern w:val="36"/>
      <w:sz w:val="48"/>
      <w:szCs w:val="48"/>
      <w:u w:val="single"/>
    </w:rPr>
  </w:style>
  <w:style w:type="paragraph" w:styleId="a3">
    <w:name w:val="No Spacing"/>
    <w:qFormat/>
    <w:rsid w:val="002F08C6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2"/>
      <w:sz w:val="24"/>
      <w:szCs w:val="21"/>
      <w:lang w:eastAsia="hi-IN" w:bidi="hi-IN"/>
    </w:rPr>
  </w:style>
  <w:style w:type="paragraph" w:customStyle="1" w:styleId="Standard">
    <w:name w:val="Standard"/>
    <w:rsid w:val="002F08C6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customStyle="1" w:styleId="a4">
    <w:name w:val="Нормальный (таблица)"/>
    <w:basedOn w:val="a"/>
    <w:next w:val="a"/>
    <w:rsid w:val="002F08C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FontStyle55">
    <w:name w:val="Font Style55"/>
    <w:rsid w:val="002F08C6"/>
    <w:rPr>
      <w:rFonts w:ascii="Times New Roman" w:hAnsi="Times New Roman" w:cs="Times New Roman" w:hint="default"/>
      <w:b/>
      <w:bCs/>
      <w:sz w:val="26"/>
      <w:szCs w:val="26"/>
    </w:rPr>
  </w:style>
  <w:style w:type="character" w:styleId="a5">
    <w:name w:val="Hyperlink"/>
    <w:basedOn w:val="a0"/>
    <w:uiPriority w:val="99"/>
    <w:semiHidden/>
    <w:unhideWhenUsed/>
    <w:rsid w:val="002F08C6"/>
    <w:rPr>
      <w:color w:val="0000FF"/>
      <w:u w:val="single"/>
    </w:rPr>
  </w:style>
  <w:style w:type="character" w:styleId="a6">
    <w:name w:val="Strong"/>
    <w:basedOn w:val="a0"/>
    <w:qFormat/>
    <w:rsid w:val="002F08C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010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3000000.0/" TargetMode="External"/><Relationship Id="rId4" Type="http://schemas.openxmlformats.org/officeDocument/2006/relationships/hyperlink" Target="garantF1://8862805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2278</Words>
  <Characters>12990</Characters>
  <Application>Microsoft Office Word</Application>
  <DocSecurity>0</DocSecurity>
  <Lines>108</Lines>
  <Paragraphs>30</Paragraphs>
  <ScaleCrop>false</ScaleCrop>
  <Company/>
  <LinksUpToDate>false</LinksUpToDate>
  <CharactersWithSpaces>15238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2021-08-02T14:05:00Z</dcterms:created>
  <dcterms:modified xsi:type="dcterms:W3CDTF">2021-08-02T14:05:00Z</dcterms:modified>
</cp:coreProperties>
</file>