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D5B" w:rsidRDefault="00DE6D5B" w:rsidP="00DE6D5B"/>
    <w:p w:rsidR="00DE6D5B" w:rsidRDefault="00DE6D5B" w:rsidP="00DE6D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DE6D5B" w:rsidRDefault="00DE6D5B" w:rsidP="00DE6D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DE6D5B" w:rsidRDefault="00DE6D5B" w:rsidP="00DE6D5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D5B" w:rsidRDefault="00DE6D5B" w:rsidP="00DE6D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09286C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ПОСТАНОВЛЕНИЕ</w:t>
      </w:r>
    </w:p>
    <w:p w:rsidR="00DE6D5B" w:rsidRDefault="00DE6D5B" w:rsidP="00DE6D5B">
      <w:pPr>
        <w:rPr>
          <w:b/>
          <w:sz w:val="28"/>
          <w:szCs w:val="28"/>
        </w:rPr>
      </w:pPr>
    </w:p>
    <w:p w:rsidR="00DE6D5B" w:rsidRDefault="00DE6D5B" w:rsidP="00DE6D5B">
      <w:pPr>
        <w:rPr>
          <w:sz w:val="28"/>
          <w:szCs w:val="28"/>
        </w:rPr>
      </w:pPr>
      <w:r>
        <w:rPr>
          <w:sz w:val="28"/>
          <w:szCs w:val="28"/>
        </w:rPr>
        <w:t>05.12.2019г.                                           № 64</w:t>
      </w:r>
    </w:p>
    <w:p w:rsidR="00DE6D5B" w:rsidRDefault="00DE6D5B" w:rsidP="00DE6D5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DE6D5B" w:rsidRDefault="00DE6D5B" w:rsidP="00DE6D5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 муниципальной программы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E6D5B" w:rsidRDefault="00DE6D5B" w:rsidP="00DE6D5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«Комплексное  развитие  сельских территорий»</w:t>
      </w:r>
    </w:p>
    <w:p w:rsidR="00DE6D5B" w:rsidRDefault="00DE6D5B" w:rsidP="00DE6D5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E6D5B" w:rsidRDefault="0009286C" w:rsidP="00DE6D5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DE6D5B">
        <w:rPr>
          <w:sz w:val="28"/>
          <w:szCs w:val="28"/>
        </w:rPr>
        <w:t>ПОСТАНОВЛЯЕТ:</w:t>
      </w:r>
    </w:p>
    <w:p w:rsidR="00DE6D5B" w:rsidRDefault="00DE6D5B" w:rsidP="00DE6D5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Утвердить муниципальную программу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«Комплексное   развитие  сельских территорий».</w:t>
      </w:r>
    </w:p>
    <w:p w:rsidR="00DE6D5B" w:rsidRDefault="00DE6D5B" w:rsidP="00DE6D5B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Объемы финансирования мероприятий муниципальной программы подлежат ежегодному уточнению, исходя из возможностей бюджета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DE6D5B" w:rsidRDefault="00DE6D5B" w:rsidP="00DE6D5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3.Настоящее  постановление вступает  в  силу с 1 января 2020 года.</w:t>
      </w:r>
    </w:p>
    <w:p w:rsidR="00DE6D5B" w:rsidRDefault="00DE6D5B" w:rsidP="0009286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</w:p>
    <w:p w:rsidR="00DE6D5B" w:rsidRDefault="00DE6D5B" w:rsidP="00DE6D5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                           </w:t>
      </w:r>
      <w:proofErr w:type="spellStart"/>
      <w:r>
        <w:rPr>
          <w:sz w:val="28"/>
          <w:szCs w:val="28"/>
        </w:rPr>
        <w:t>Е.Н.Голубева</w:t>
      </w:r>
      <w:proofErr w:type="spellEnd"/>
      <w:r>
        <w:rPr>
          <w:sz w:val="28"/>
          <w:szCs w:val="28"/>
        </w:rPr>
        <w:t xml:space="preserve">  </w:t>
      </w:r>
    </w:p>
    <w:p w:rsidR="00DE6D5B" w:rsidRDefault="00DE6D5B" w:rsidP="00DE6D5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МУНИЦИПАЛЬНАЯ ПРОГРАММА</w:t>
      </w:r>
    </w:p>
    <w:p w:rsidR="00DE6D5B" w:rsidRDefault="00DE6D5B" w:rsidP="00DE6D5B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Чамзинского</w:t>
      </w:r>
      <w:proofErr w:type="spellEnd"/>
      <w:r>
        <w:rPr>
          <w:b/>
          <w:sz w:val="36"/>
          <w:szCs w:val="36"/>
        </w:rPr>
        <w:t xml:space="preserve"> муниципального района</w:t>
      </w:r>
    </w:p>
    <w:p w:rsidR="00DE6D5B" w:rsidRDefault="00DE6D5B" w:rsidP="00DE6D5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DE6D5B" w:rsidRDefault="00DE6D5B" w:rsidP="00DE6D5B">
      <w:pPr>
        <w:jc w:val="center"/>
        <w:rPr>
          <w:b/>
          <w:sz w:val="36"/>
          <w:szCs w:val="36"/>
        </w:rPr>
      </w:pPr>
    </w:p>
    <w:p w:rsidR="00DE6D5B" w:rsidRDefault="00DE6D5B" w:rsidP="00DE6D5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«Комплексное развитие сельских территорий» </w:t>
      </w:r>
    </w:p>
    <w:p w:rsidR="00DE6D5B" w:rsidRDefault="00DE6D5B" w:rsidP="00DE6D5B">
      <w:pPr>
        <w:jc w:val="center"/>
        <w:rPr>
          <w:b/>
          <w:sz w:val="36"/>
          <w:szCs w:val="36"/>
        </w:rPr>
      </w:pPr>
    </w:p>
    <w:p w:rsidR="00DE6D5B" w:rsidRDefault="00DE6D5B" w:rsidP="00DE6D5B">
      <w:pPr>
        <w:jc w:val="center"/>
        <w:rPr>
          <w:sz w:val="36"/>
          <w:szCs w:val="36"/>
        </w:rPr>
      </w:pPr>
    </w:p>
    <w:p w:rsidR="00DE6D5B" w:rsidRDefault="00DE6D5B" w:rsidP="00DE6D5B">
      <w:pPr>
        <w:jc w:val="center"/>
        <w:rPr>
          <w:sz w:val="36"/>
          <w:szCs w:val="36"/>
        </w:rPr>
      </w:pPr>
    </w:p>
    <w:p w:rsidR="00DE6D5B" w:rsidRDefault="00DE6D5B" w:rsidP="00DE6D5B">
      <w:pPr>
        <w:jc w:val="center"/>
        <w:rPr>
          <w:sz w:val="28"/>
          <w:szCs w:val="28"/>
        </w:rPr>
      </w:pPr>
    </w:p>
    <w:p w:rsidR="00DE6D5B" w:rsidRDefault="00DE6D5B" w:rsidP="00DE6D5B">
      <w:pPr>
        <w:jc w:val="center"/>
        <w:rPr>
          <w:sz w:val="28"/>
          <w:szCs w:val="28"/>
        </w:rPr>
      </w:pPr>
    </w:p>
    <w:p w:rsidR="00DE6D5B" w:rsidRDefault="00DE6D5B" w:rsidP="00DE6D5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DE6D5B" w:rsidRDefault="00DE6D5B" w:rsidP="00DE6D5B">
      <w:pPr>
        <w:jc w:val="center"/>
        <w:rPr>
          <w:sz w:val="28"/>
          <w:szCs w:val="28"/>
        </w:rPr>
      </w:pPr>
    </w:p>
    <w:p w:rsidR="00DE6D5B" w:rsidRDefault="00DE6D5B" w:rsidP="00DE6D5B">
      <w:pPr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Spec="right" w:tblpY="-141"/>
        <w:tblW w:w="0" w:type="auto"/>
        <w:tblLook w:val="04A0"/>
      </w:tblPr>
      <w:tblGrid>
        <w:gridCol w:w="4960"/>
      </w:tblGrid>
      <w:tr w:rsidR="00DE6D5B" w:rsidTr="00DE6D5B">
        <w:trPr>
          <w:trHeight w:val="899"/>
        </w:trPr>
        <w:tc>
          <w:tcPr>
            <w:tcW w:w="4960" w:type="dxa"/>
            <w:hideMark/>
          </w:tcPr>
          <w:p w:rsidR="00DE6D5B" w:rsidRDefault="00DE6D5B">
            <w:pPr>
              <w:jc w:val="center"/>
              <w:rPr>
                <w:rFonts w:ascii="Times New Roman" w:hAnsi="Times New Roman" w:cs="Times New Roman CYR"/>
                <w:b/>
                <w:sz w:val="28"/>
                <w:szCs w:val="28"/>
              </w:rPr>
            </w:pPr>
            <w:bookmarkStart w:id="0" w:name="sub_1000"/>
            <w:r>
              <w:rPr>
                <w:rFonts w:ascii="Times New Roman" w:hAnsi="Times New Roman"/>
                <w:b/>
                <w:sz w:val="28"/>
                <w:szCs w:val="28"/>
              </w:rPr>
              <w:t>Утверждена</w:t>
            </w:r>
          </w:p>
          <w:p w:rsidR="00DE6D5B" w:rsidRDefault="00DE6D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постановлением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 CYR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05.12.2019 г. № 64</w:t>
            </w:r>
          </w:p>
        </w:tc>
      </w:tr>
    </w:tbl>
    <w:p w:rsidR="00DE6D5B" w:rsidRDefault="00DE6D5B" w:rsidP="00DE6D5B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 CYR" w:hAnsi="Times New Roman CYR" w:cs="Times New Roman CYR"/>
          <w:sz w:val="24"/>
          <w:szCs w:val="24"/>
        </w:rPr>
      </w:pPr>
    </w:p>
    <w:p w:rsidR="00DE6D5B" w:rsidRDefault="00DE6D5B" w:rsidP="00DE6D5B"/>
    <w:p w:rsidR="00DE6D5B" w:rsidRDefault="00DE6D5B" w:rsidP="00DE6D5B"/>
    <w:p w:rsidR="00DE6D5B" w:rsidRDefault="00DE6D5B" w:rsidP="00DE6D5B"/>
    <w:p w:rsidR="00DE6D5B" w:rsidRDefault="00DE6D5B" w:rsidP="00DE6D5B"/>
    <w:p w:rsidR="00DE6D5B" w:rsidRDefault="00DE6D5B" w:rsidP="00DE6D5B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Муниципальная программа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«Комплексное развитие сельских территорий»</w:t>
      </w:r>
      <w:r>
        <w:rPr>
          <w:rFonts w:ascii="Times New Roman" w:eastAsiaTheme="minorEastAsia" w:hAnsi="Times New Roman" w:cs="Times New Roman"/>
          <w:sz w:val="28"/>
          <w:szCs w:val="28"/>
        </w:rPr>
        <w:br/>
      </w:r>
      <w:bookmarkEnd w:id="0"/>
    </w:p>
    <w:p w:rsidR="00DE6D5B" w:rsidRDefault="00DE6D5B" w:rsidP="00DE6D5B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Паспорт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 xml:space="preserve">Муниципальной программы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«Комплексное развитие сельских территорий»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922"/>
        <w:gridCol w:w="5438"/>
      </w:tblGrid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5"/>
              <w:spacing w:line="276" w:lineRule="auto"/>
              <w:rPr>
                <w:rStyle w:val="a6"/>
                <w:rFonts w:ascii="Times New Roman" w:hAnsi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Муниципальной</w:t>
            </w:r>
            <w:proofErr w:type="gramEnd"/>
          </w:p>
          <w:p w:rsidR="00DE6D5B" w:rsidRDefault="00DE6D5B">
            <w:pPr>
              <w:pStyle w:val="a5"/>
              <w:spacing w:line="276" w:lineRule="auto"/>
              <w:rPr>
                <w:rStyle w:val="a6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Муниципальная  программа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«Комплексное развитие сельских территорий» (далее – Муниципальная программа)</w:t>
            </w: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5"/>
              <w:spacing w:line="276" w:lineRule="auto"/>
              <w:rPr>
                <w:rStyle w:val="a6"/>
                <w:rFonts w:ascii="Times New Roman" w:hAnsi="Times New Roman"/>
                <w:sz w:val="28"/>
                <w:szCs w:val="28"/>
              </w:rPr>
            </w:pPr>
            <w:bookmarkStart w:id="1" w:name="sub_1112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Ответственный исполнитель </w:t>
            </w:r>
            <w:proofErr w:type="gramStart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</w:p>
          <w:p w:rsidR="00DE6D5B" w:rsidRDefault="00DE6D5B">
            <w:pPr>
              <w:pStyle w:val="a5"/>
              <w:spacing w:line="276" w:lineRule="auto"/>
              <w:rPr>
                <w:rStyle w:val="a6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программы</w:t>
            </w:r>
            <w:bookmarkEnd w:id="1"/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Республики Мордовия</w:t>
            </w: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Style w:val="a6"/>
                <w:rFonts w:ascii="Times New Roman" w:hAnsi="Times New Roman"/>
                <w:sz w:val="28"/>
                <w:szCs w:val="28"/>
              </w:rPr>
            </w:pPr>
            <w:bookmarkStart w:id="2" w:name="sub_7020034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</w:p>
          <w:p w:rsidR="00DE6D5B" w:rsidRDefault="00DE6D5B">
            <w:pPr>
              <w:pStyle w:val="a4"/>
              <w:spacing w:line="276" w:lineRule="auto"/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Муниципальной 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учреждения </w:t>
            </w:r>
            <w:proofErr w:type="spellStart"/>
            <w:r>
              <w:rPr>
                <w:sz w:val="28"/>
                <w:szCs w:val="28"/>
              </w:rPr>
              <w:t>Медаевского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поселения, юридические и физические лица, индивидуальные предприниматели </w:t>
            </w: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Style w:val="a6"/>
                <w:rFonts w:ascii="Times New Roman" w:hAnsi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Подпрограммы Муниципальной</w:t>
            </w:r>
          </w:p>
          <w:p w:rsidR="00DE6D5B" w:rsidRDefault="00DE6D5B">
            <w:pPr>
              <w:pStyle w:val="a4"/>
              <w:spacing w:line="276" w:lineRule="auto"/>
              <w:rPr>
                <w:rStyle w:val="a6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предусмотрены;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6D5B" w:rsidRDefault="00DE6D5B">
            <w:pPr>
              <w:pStyle w:val="a5"/>
              <w:spacing w:line="276" w:lineRule="auto"/>
              <w:rPr>
                <w:rStyle w:val="a6"/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Цель и задачи</w:t>
            </w:r>
          </w:p>
          <w:p w:rsidR="00DE6D5B" w:rsidRDefault="00DE6D5B">
            <w:pPr>
              <w:pStyle w:val="a5"/>
              <w:spacing w:line="276" w:lineRule="auto"/>
              <w:rPr>
                <w:rStyle w:val="a6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</w:p>
          <w:p w:rsidR="00DE6D5B" w:rsidRDefault="00DE6D5B">
            <w:pPr>
              <w:pStyle w:val="a5"/>
              <w:spacing w:line="276" w:lineRule="auto"/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ConsPlusNormal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Обеспечение досуга детей в свободное время, организация активного отдыха, </w:t>
            </w:r>
            <w:r>
              <w:rPr>
                <w:sz w:val="28"/>
                <w:szCs w:val="28"/>
              </w:rPr>
              <w:lastRenderedPageBreak/>
              <w:t>укрепление физического здоровья детей, формирование активно-жизненной позиции.</w:t>
            </w:r>
          </w:p>
          <w:p w:rsidR="00DE6D5B" w:rsidRDefault="00DE6D5B">
            <w:pPr>
              <w:pStyle w:val="a4"/>
              <w:spacing w:line="276" w:lineRule="auto"/>
              <w:rPr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6D5B" w:rsidRDefault="00DE6D5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115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6 общественно-значимых проектов по благоустройству территорий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6D5B" w:rsidRDefault="00DE6D5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Этапы и сроки реализации Муниципальной 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мая  2020 – 1 августа  2020 годы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D5B" w:rsidRDefault="00DE6D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Style w:val="a6"/>
                <w:rFonts w:ascii="Times New Roman" w:hAnsi="Times New Roman"/>
                <w:color w:val="auto"/>
                <w:sz w:val="28"/>
                <w:szCs w:val="28"/>
              </w:rPr>
            </w:pPr>
            <w:bookmarkStart w:id="4" w:name="sub_1117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Объемы бюджетных ассигнований </w:t>
            </w:r>
            <w:proofErr w:type="gramStart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</w:p>
          <w:p w:rsidR="00DE6D5B" w:rsidRDefault="00DE6D5B">
            <w:pPr>
              <w:pStyle w:val="a4"/>
              <w:spacing w:line="276" w:lineRule="auto"/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объем  финансирования составляет всего 12064,9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ублей: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 – 12064,9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 из средств республиканского бюджета Республики Мордовия в сумме 8445,2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ублей: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г- 8445,2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 средств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в сумме 1206,6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ублей: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 – 1206,6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из внебюджетных источников в сумме 2413,1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ублей: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2020 г – 2413,1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ублей; 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E6D5B" w:rsidRDefault="00DE6D5B">
            <w:pPr>
              <w:pStyle w:val="a5"/>
              <w:spacing w:line="276" w:lineRule="auto"/>
              <w:rPr>
                <w:rStyle w:val="a6"/>
                <w:rFonts w:ascii="Times New Roman" w:hAnsi="Times New Roman"/>
                <w:color w:val="auto"/>
                <w:sz w:val="28"/>
                <w:szCs w:val="28"/>
              </w:rPr>
            </w:pPr>
            <w:bookmarkStart w:id="5" w:name="sub_1118"/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результаты реализации </w:t>
            </w:r>
          </w:p>
          <w:p w:rsidR="00DE6D5B" w:rsidRDefault="00DE6D5B">
            <w:pPr>
              <w:pStyle w:val="a5"/>
              <w:spacing w:line="276" w:lineRule="auto"/>
            </w:pPr>
            <w:r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Муниципальной 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общественно-значимых проектов по благоустройству территорий; </w:t>
            </w:r>
          </w:p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6D5B" w:rsidRDefault="00DE6D5B" w:rsidP="00DE6D5B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</w:t>
      </w:r>
    </w:p>
    <w:p w:rsidR="00DE6D5B" w:rsidRDefault="00DE6D5B" w:rsidP="00DE6D5B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Муниципальная программа разработана во исполнение поручения Президента Российской Федерации В.В.Путина по итогам рабочей поездки в Ставропольский край 9 октября 2018 г. № Пр-2014, на основании Порядка разработки, реализации и оценки эффективности государственных программ Республики Мордовия, утвержденного постановлением Правительства Республики Мордовия от 27 июня 2011 г. № 234.</w:t>
      </w:r>
    </w:p>
    <w:p w:rsidR="00DE6D5B" w:rsidRDefault="00DE6D5B" w:rsidP="00DE6D5B">
      <w:pPr>
        <w:pStyle w:val="s1bullet1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Главным приоритетом Муниципальной программы является 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DE6D5B" w:rsidRDefault="00DE6D5B" w:rsidP="00DE6D5B">
      <w:pPr>
        <w:pStyle w:val="s1bullet3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Муниципальная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DE6D5B" w:rsidRDefault="00DE6D5B" w:rsidP="00DE6D5B">
      <w:pPr>
        <w:pStyle w:val="msonormalbullet1gif"/>
        <w:rPr>
          <w:sz w:val="28"/>
          <w:szCs w:val="28"/>
        </w:rPr>
      </w:pPr>
    </w:p>
    <w:p w:rsidR="00DE6D5B" w:rsidRDefault="00DE6D5B" w:rsidP="00DE6D5B">
      <w:pPr>
        <w:pStyle w:val="msonormalbullet3gif"/>
        <w:rPr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bookmarkStart w:id="6" w:name="sub_1100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Раздел 1. Общая характеристика сферы реализации Муниципальной программы, основные проблемы и прогноз комплексного развития сельских территорий 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муниципального района Республики Мордовия </w:t>
      </w:r>
    </w:p>
    <w:bookmarkEnd w:id="6"/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pStyle w:val="s1bullet1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Развитие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 устойчивого 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от 13 февраля 2019 г. № 207-р, </w:t>
      </w:r>
      <w:hyperlink r:id="rId4" w:anchor="/document/8923600/entry/0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Республики Мордовия от 1 октября 2008 г. № 94-З «О стратегии социально-экономического</w:t>
      </w:r>
      <w:proofErr w:type="gramEnd"/>
      <w:r>
        <w:rPr>
          <w:sz w:val="28"/>
          <w:szCs w:val="28"/>
        </w:rPr>
        <w:t xml:space="preserve">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районе, в том числе принятия мер по созданию предпосылок для комплексного развития сельских территорий путем: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улучшения демографической ситуации;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развития в сельской местности местного самоуправления и институтов гражданского общества.</w:t>
      </w:r>
    </w:p>
    <w:p w:rsidR="00DE6D5B" w:rsidRDefault="00DE6D5B" w:rsidP="00DE6D5B">
      <w:pPr>
        <w:pStyle w:val="s1bullet3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комплексного развития сельских территорий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DE6D5B" w:rsidRDefault="00DE6D5B" w:rsidP="00DE6D5B">
      <w:pPr>
        <w:pStyle w:val="s1bullet1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5" w:anchor="/document/12151309/entry/0" w:history="1">
        <w:r>
          <w:rPr>
            <w:rStyle w:val="a3"/>
            <w:sz w:val="28"/>
            <w:szCs w:val="28"/>
          </w:rPr>
          <w:t>Федеральном законе</w:t>
        </w:r>
      </w:hyperlink>
      <w:r>
        <w:rPr>
          <w:sz w:val="28"/>
          <w:szCs w:val="28"/>
        </w:rPr>
        <w:t xml:space="preserve"> от 29 декабря 2006 г. № 264-ФЗ «О развитии сельского хозяйства».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Дальнейшее повышение роли и конкурентоспособности районного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</w:t>
      </w:r>
      <w:proofErr w:type="gramEnd"/>
      <w:r>
        <w:rPr>
          <w:sz w:val="28"/>
          <w:szCs w:val="28"/>
        </w:rPr>
        <w:t xml:space="preserve"> формирования </w:t>
      </w:r>
      <w:proofErr w:type="spellStart"/>
      <w:r>
        <w:rPr>
          <w:sz w:val="28"/>
          <w:szCs w:val="28"/>
        </w:rPr>
        <w:t>трудоресурсного</w:t>
      </w:r>
      <w:proofErr w:type="spellEnd"/>
      <w:r>
        <w:rPr>
          <w:sz w:val="28"/>
          <w:szCs w:val="28"/>
        </w:rPr>
        <w:t xml:space="preserve"> потенциала села.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>
        <w:rPr>
          <w:sz w:val="28"/>
          <w:szCs w:val="28"/>
        </w:rPr>
        <w:t>дотационности</w:t>
      </w:r>
      <w:proofErr w:type="spellEnd"/>
      <w:r>
        <w:rPr>
          <w:sz w:val="28"/>
          <w:szCs w:val="28"/>
        </w:rPr>
        <w:t xml:space="preserve"> бюджетов на уровне сельских поселений, высокий уровень </w:t>
      </w:r>
      <w:proofErr w:type="spellStart"/>
      <w:r>
        <w:rPr>
          <w:sz w:val="28"/>
          <w:szCs w:val="28"/>
        </w:rPr>
        <w:t>затратности</w:t>
      </w:r>
      <w:proofErr w:type="spellEnd"/>
      <w:r>
        <w:rPr>
          <w:sz w:val="28"/>
          <w:szCs w:val="28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результате на селе сложилась неблагоприятная демографическая ситуация, прогрессирует </w:t>
      </w:r>
      <w:proofErr w:type="spellStart"/>
      <w:r>
        <w:rPr>
          <w:sz w:val="28"/>
          <w:szCs w:val="28"/>
        </w:rPr>
        <w:t>обезлюдение</w:t>
      </w:r>
      <w:proofErr w:type="spellEnd"/>
      <w:r>
        <w:rPr>
          <w:sz w:val="28"/>
          <w:szCs w:val="28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>
        <w:rPr>
          <w:sz w:val="28"/>
          <w:szCs w:val="28"/>
        </w:rPr>
        <w:t>трудоресурсного</w:t>
      </w:r>
      <w:proofErr w:type="spellEnd"/>
      <w:r>
        <w:rPr>
          <w:sz w:val="28"/>
          <w:szCs w:val="28"/>
        </w:rPr>
        <w:t xml:space="preserve"> потенциала аграрной отрасли.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>
        <w:rPr>
          <w:sz w:val="28"/>
          <w:szCs w:val="28"/>
        </w:rPr>
        <w:t xml:space="preserve"> соглашения, контракты жизненного цикла, инструменты по защите и поощрение капиталовложений.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«Развитие агропромышленного комплекса», «Образование», «Здоровье», </w:t>
      </w:r>
      <w:hyperlink r:id="rId6" w:anchor="/document/8921364/entry/1000" w:history="1">
        <w:r>
          <w:rPr>
            <w:rStyle w:val="a3"/>
            <w:sz w:val="28"/>
            <w:szCs w:val="28"/>
          </w:rPr>
          <w:t>Программы</w:t>
        </w:r>
      </w:hyperlink>
      <w:r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– 2012 годы, утвержденной </w:t>
      </w:r>
      <w:hyperlink r:id="rId7" w:anchor="/document/8921364/entry/0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Республики Мордовия от 7 марта 2008 г. № 79, Государственной </w:t>
      </w:r>
      <w:hyperlink r:id="rId8" w:anchor="/document/8921364/entry/1000" w:history="1">
        <w:r>
          <w:rPr>
            <w:rStyle w:val="a3"/>
            <w:sz w:val="28"/>
            <w:szCs w:val="28"/>
          </w:rPr>
          <w:t>программы</w:t>
        </w:r>
      </w:hyperlink>
      <w:r>
        <w:rPr>
          <w:sz w:val="28"/>
          <w:szCs w:val="28"/>
        </w:rPr>
        <w:t xml:space="preserve"> Республики Мордовия развития сельского хозяйства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и регулирования рынков сельскохозяйственной продукции, сырья и продовольствия на 2013 - 2025 годы, утвержденной </w:t>
      </w:r>
      <w:hyperlink r:id="rId9" w:anchor="/document/8921364/entry/0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Республики Мордовия от 19ноября 2012 г. № 404, </w:t>
      </w:r>
      <w:hyperlink r:id="rId10" w:anchor="/document/8910658/entry/1000" w:history="1">
        <w:r>
          <w:rPr>
            <w:rStyle w:val="a3"/>
            <w:sz w:val="28"/>
            <w:szCs w:val="28"/>
          </w:rPr>
          <w:t>Республиканской целевой программы</w:t>
        </w:r>
      </w:hyperlink>
      <w:r>
        <w:rPr>
          <w:sz w:val="28"/>
          <w:szCs w:val="28"/>
        </w:rPr>
        <w:t xml:space="preserve">«Социальное развитие села до 2013 года», утвержденной </w:t>
      </w:r>
      <w:hyperlink r:id="rId11" w:anchor="/document/8910658/entry/0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2" w:anchor="/document/9023015/entry/1000" w:history="1">
        <w:r>
          <w:rPr>
            <w:rStyle w:val="a3"/>
            <w:sz w:val="28"/>
            <w:szCs w:val="28"/>
          </w:rPr>
          <w:t>Государственной программы</w:t>
        </w:r>
      </w:hyperlink>
      <w:r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</w:t>
      </w:r>
      <w:proofErr w:type="gramEnd"/>
      <w:r>
        <w:rPr>
          <w:sz w:val="28"/>
          <w:szCs w:val="28"/>
        </w:rPr>
        <w:t xml:space="preserve">, утвержденной </w:t>
      </w:r>
      <w:hyperlink r:id="rId13" w:anchor="/document/9023015/entry/0" w:history="1">
        <w:r>
          <w:rPr>
            <w:rStyle w:val="a3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Республики Мордовия </w:t>
      </w:r>
      <w:r>
        <w:rPr>
          <w:sz w:val="28"/>
          <w:szCs w:val="28"/>
        </w:rPr>
        <w:lastRenderedPageBreak/>
        <w:t>от 6 сентября 2013 г. № 373 (далее - Программы)</w:t>
      </w:r>
      <w:proofErr w:type="gramStart"/>
      <w:r>
        <w:rPr>
          <w:sz w:val="28"/>
          <w:szCs w:val="28"/>
        </w:rPr>
        <w:t>,к</w:t>
      </w:r>
      <w:proofErr w:type="gramEnd"/>
      <w:r>
        <w:rPr>
          <w:sz w:val="28"/>
          <w:szCs w:val="28"/>
        </w:rPr>
        <w:t>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Эффективность комплексного подхода </w:t>
      </w:r>
      <w:proofErr w:type="gramStart"/>
      <w:r>
        <w:rPr>
          <w:sz w:val="28"/>
          <w:szCs w:val="28"/>
        </w:rPr>
        <w:t>к формированию предпосылок для устойчивого развития  сельских территорий в контексте  взаимосвязи с точки экономического роста  аграрного сектора наглядно проиллюстрирована результатами реализации мероприятий по поддержке</w:t>
      </w:r>
      <w:proofErr w:type="gramEnd"/>
      <w:r>
        <w:rPr>
          <w:sz w:val="28"/>
          <w:szCs w:val="28"/>
        </w:rPr>
        <w:t xml:space="preserve"> комплексной компактной застройки и благоустройства сельских поселений в рамках </w:t>
      </w:r>
      <w:proofErr w:type="spellStart"/>
      <w:r>
        <w:rPr>
          <w:sz w:val="28"/>
          <w:szCs w:val="28"/>
        </w:rPr>
        <w:t>пилотных</w:t>
      </w:r>
      <w:proofErr w:type="spellEnd"/>
      <w:r>
        <w:rPr>
          <w:sz w:val="28"/>
          <w:szCs w:val="28"/>
        </w:rPr>
        <w:t xml:space="preserve"> проектов.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Целесообразность  использования проектного подхода при реализации  Муниципальной программы, устанавливающей социально-экономические показатели для сельских территорий, обуславливается: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отличительными особенностями территорий и необходимостью выработке отдельных  инструментов для решения задач, взаимоувязанных с приоритетами социально-экономического развития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части повышения уровня и качества жизни населения;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их достижением;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высоким уровнем </w:t>
      </w:r>
      <w:proofErr w:type="spellStart"/>
      <w:r>
        <w:rPr>
          <w:sz w:val="28"/>
          <w:szCs w:val="28"/>
        </w:rPr>
        <w:t>затратности</w:t>
      </w:r>
      <w:proofErr w:type="spellEnd"/>
      <w:r>
        <w:rPr>
          <w:sz w:val="28"/>
          <w:szCs w:val="28"/>
        </w:rPr>
        <w:t xml:space="preserve"> накопившихся проблем села, делающим невозможным их решение только за счет средств государственной поддержки без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 xml:space="preserve">  со стороны местного населения и предпринимателей.</w:t>
      </w:r>
    </w:p>
    <w:p w:rsidR="00DE6D5B" w:rsidRDefault="00DE6D5B" w:rsidP="00DE6D5B">
      <w:pPr>
        <w:pStyle w:val="s1bullet3gi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Глава 2. Прогноз комплексного развития сельских территорий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до 2025 года</w:t>
      </w:r>
    </w:p>
    <w:p w:rsidR="00DE6D5B" w:rsidRDefault="00DE6D5B" w:rsidP="00DE6D5B">
      <w:pPr>
        <w:pStyle w:val="s1bullet1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В прогнозном периоде намечаются следующие значимые тенденции: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увеличение бюджетных инвестиций в объекты муниципальной собственности;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proofErr w:type="spellStart"/>
      <w:r>
        <w:rPr>
          <w:sz w:val="28"/>
          <w:szCs w:val="28"/>
        </w:rPr>
        <w:t>Муниципальнойпрограммы</w:t>
      </w:r>
      <w:proofErr w:type="spellEnd"/>
      <w:r>
        <w:rPr>
          <w:sz w:val="28"/>
          <w:szCs w:val="28"/>
        </w:rPr>
        <w:t>, включая средства населения и организаций.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Муниципальная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Прогноз реализации Муниципальной программы основывается на достижении уровней ее основных показателей (индикаторов).</w:t>
      </w:r>
    </w:p>
    <w:p w:rsidR="00DE6D5B" w:rsidRDefault="00DE6D5B" w:rsidP="00DE6D5B">
      <w:pPr>
        <w:pStyle w:val="s1bullet3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В части основных показателей Муниципальной программы прогнозируются:</w:t>
      </w:r>
    </w:p>
    <w:p w:rsidR="00DE6D5B" w:rsidRDefault="00DE6D5B" w:rsidP="00DE6D5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реализовать 4 общественно-значимых проектов по благоустройству территорий;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bookmarkStart w:id="7" w:name="sub_1200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</w:t>
      </w:r>
    </w:p>
    <w:bookmarkEnd w:id="7"/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bookmarkStart w:id="8" w:name="sub_30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Глава 3. Приоритеты государственной политики в сфере реализации Муниципальной программы</w:t>
      </w:r>
    </w:p>
    <w:bookmarkEnd w:id="8"/>
    <w:p w:rsidR="00DE6D5B" w:rsidRDefault="00DE6D5B" w:rsidP="00DE6D5B">
      <w:pPr>
        <w:pStyle w:val="msonormalbullet1gif"/>
        <w:rPr>
          <w:sz w:val="28"/>
          <w:szCs w:val="28"/>
        </w:rPr>
      </w:pP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lastRenderedPageBreak/>
        <w:t>Без использования проектного подхода сложившаяся на сельских территориях проблемная ситуация усугубится, что ставит под угрозу выполнение стратегических задач социально-экономического развития Республики Мордовия.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 xml:space="preserve">высоким уровнем </w:t>
      </w:r>
      <w:proofErr w:type="spellStart"/>
      <w:r>
        <w:rPr>
          <w:sz w:val="28"/>
          <w:szCs w:val="28"/>
        </w:rPr>
        <w:t>затратности</w:t>
      </w:r>
      <w:proofErr w:type="spellEnd"/>
      <w:r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программа.</w:t>
      </w:r>
    </w:p>
    <w:p w:rsidR="00DE6D5B" w:rsidRDefault="00DE6D5B" w:rsidP="00DE6D5B">
      <w:pPr>
        <w:pStyle w:val="msonormalbullet3gif"/>
        <w:rPr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Глава 4. Цели и задачи Муниципальной программы</w:t>
      </w:r>
    </w:p>
    <w:p w:rsidR="00DE6D5B" w:rsidRDefault="00DE6D5B" w:rsidP="00DE6D5B">
      <w:pPr>
        <w:pStyle w:val="msonormalbullet1gif"/>
        <w:rPr>
          <w:sz w:val="28"/>
          <w:szCs w:val="28"/>
        </w:rPr>
      </w:pPr>
    </w:p>
    <w:p w:rsidR="00DE6D5B" w:rsidRDefault="00DE6D5B" w:rsidP="00DE6D5B">
      <w:pPr>
        <w:pStyle w:val="msonormalbullet3gif"/>
        <w:rPr>
          <w:sz w:val="28"/>
          <w:szCs w:val="28"/>
        </w:rPr>
      </w:pPr>
      <w:r>
        <w:rPr>
          <w:sz w:val="28"/>
          <w:szCs w:val="28"/>
        </w:rPr>
        <w:t>Муниципальная программа разработана для достижения следующих целей:</w:t>
      </w:r>
    </w:p>
    <w:p w:rsidR="00DE6D5B" w:rsidRDefault="00DE6D5B" w:rsidP="00DE6D5B">
      <w:pPr>
        <w:pStyle w:val="ConsPlusNormal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достижение соотношения среднемесячных располагаемых ресурсов сельского и городского домохозяйств до 100 процентов  в 2025 г.;</w:t>
      </w:r>
    </w:p>
    <w:p w:rsidR="00DE6D5B" w:rsidRDefault="00DE6D5B" w:rsidP="00DE6D5B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повышение доли общей площади благоустроенных жилых помещений в сельских населенных пунктах до 50 процентов в 2025 г.</w:t>
      </w:r>
    </w:p>
    <w:p w:rsidR="00DE6D5B" w:rsidRDefault="00DE6D5B" w:rsidP="00DE6D5B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 рамках Муниципальной программы предлагается решение следующих задач: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счет;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Достижение целей Муниципальной программы будет осуществляться с учетом следующих подходов: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bookmarkStart w:id="9" w:name="sub_402"/>
      <w:r>
        <w:rPr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(схемами муниципальных районов и генеральными планов поселений);</w:t>
      </w:r>
    </w:p>
    <w:bookmarkEnd w:id="9"/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DE6D5B" w:rsidRDefault="00DE6D5B" w:rsidP="00DE6D5B">
      <w:pPr>
        <w:pStyle w:val="msonormalbullet3gif"/>
        <w:rPr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Глава 5. Показатели (индикаторы) реализации Муниципальной программы</w:t>
      </w:r>
    </w:p>
    <w:p w:rsidR="00DE6D5B" w:rsidRDefault="00DE6D5B" w:rsidP="00DE6D5B">
      <w:pPr>
        <w:pStyle w:val="msonormalbullet1gif"/>
        <w:rPr>
          <w:sz w:val="28"/>
          <w:szCs w:val="28"/>
        </w:rPr>
      </w:pP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Показатели (индикаторы) реализации Муниципальной программы оцениваются в целом для Муниципальной программы.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DE6D5B" w:rsidRDefault="00DE6D5B" w:rsidP="00DE6D5B">
      <w:pPr>
        <w:pStyle w:val="msonormalbullet3gif"/>
        <w:rPr>
          <w:sz w:val="28"/>
          <w:szCs w:val="28"/>
        </w:rPr>
      </w:pPr>
      <w:bookmarkStart w:id="10" w:name="sub_503"/>
      <w:r>
        <w:rPr>
          <w:sz w:val="28"/>
          <w:szCs w:val="28"/>
        </w:rPr>
        <w:t>К общим показателям (индикаторам) Муниципальной программы относится реализация  общественно-значимых проектов  по благоустройству территорий.</w:t>
      </w: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End w:id="10"/>
    </w:p>
    <w:p w:rsidR="00DE6D5B" w:rsidRDefault="00DE6D5B" w:rsidP="00DE6D5B">
      <w:pPr>
        <w:rPr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E6D5B" w:rsidRDefault="00DE6D5B" w:rsidP="00DE6D5B">
      <w:pPr>
        <w:pStyle w:val="msonormalbullet3gif"/>
        <w:rPr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и сроки реализации Муниципальной программы </w:t>
      </w:r>
    </w:p>
    <w:p w:rsidR="00DE6D5B" w:rsidRDefault="00DE6D5B" w:rsidP="00DE6D5B">
      <w:pPr>
        <w:pStyle w:val="msonormalbullet1gif"/>
        <w:rPr>
          <w:sz w:val="28"/>
          <w:szCs w:val="28"/>
        </w:rPr>
      </w:pP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Реализация Муниципальной программы будет осуществляться в 2020г и предполагает наращивание темпов комплексного  развития 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DE6D5B" w:rsidRDefault="00DE6D5B" w:rsidP="00DE6D5B">
      <w:pPr>
        <w:pStyle w:val="msonormalbullet3gif"/>
        <w:rPr>
          <w:sz w:val="28"/>
          <w:szCs w:val="28"/>
        </w:rPr>
      </w:pPr>
      <w:bookmarkStart w:id="11" w:name="sub_605"/>
      <w:r>
        <w:rPr>
          <w:sz w:val="28"/>
          <w:szCs w:val="28"/>
        </w:rPr>
        <w:t>В рамках Муниципальной программы планируется реализовать 4 общественно-значимых проекта по благоустройству территорий;</w:t>
      </w:r>
    </w:p>
    <w:bookmarkEnd w:id="11"/>
    <w:p w:rsidR="00DE6D5B" w:rsidRDefault="00DE6D5B" w:rsidP="00DE6D5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E6D5B" w:rsidRDefault="00DE6D5B" w:rsidP="00DE6D5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bookmarkStart w:id="12" w:name="sub_1300"/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Раздел 3. Обобщенная характеристика основных мероприятий Муниципальной программы</w:t>
      </w:r>
    </w:p>
    <w:bookmarkEnd w:id="12"/>
    <w:p w:rsidR="00DE6D5B" w:rsidRDefault="00DE6D5B" w:rsidP="00DE6D5B">
      <w:pPr>
        <w:pStyle w:val="msonormalbullet1gif"/>
        <w:rPr>
          <w:sz w:val="28"/>
          <w:szCs w:val="28"/>
        </w:rPr>
      </w:pPr>
    </w:p>
    <w:p w:rsidR="00DE6D5B" w:rsidRDefault="00DE6D5B" w:rsidP="00DE6D5B">
      <w:pPr>
        <w:pStyle w:val="msonormalbullet3gif"/>
        <w:rPr>
          <w:sz w:val="28"/>
          <w:szCs w:val="28"/>
        </w:rPr>
      </w:pPr>
      <w:r>
        <w:rPr>
          <w:sz w:val="28"/>
          <w:szCs w:val="28"/>
        </w:rPr>
        <w:t>Перечень мероприятий Муниципальной программы сформирован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DE6D5B" w:rsidRDefault="00DE6D5B" w:rsidP="00DE6D5B">
      <w:pPr>
        <w:pStyle w:val="s1bullet1gif"/>
        <w:shd w:val="clear" w:color="auto" w:fill="FFFFFF"/>
        <w:tabs>
          <w:tab w:val="left" w:pos="709"/>
        </w:tabs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E6D5B" w:rsidRDefault="00DE6D5B" w:rsidP="00DE6D5B">
      <w:pPr>
        <w:pStyle w:val="s1bullet3gif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  <w:r>
        <w:rPr>
          <w:sz w:val="29"/>
          <w:szCs w:val="29"/>
        </w:rPr>
        <w:tab/>
      </w:r>
      <w:r>
        <w:rPr>
          <w:b/>
          <w:sz w:val="28"/>
          <w:szCs w:val="28"/>
        </w:rPr>
        <w:t>Раздел 4. Характеристика мер государственного и правового регулирования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pStyle w:val="s1bullet1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>При выполнении мероприятий Муниципальной  программы по мере необходимости ответственный исполнитель и участник Муниципальной  программы принимают нормативные акты в соответствии со своими полномочиями.</w:t>
      </w:r>
    </w:p>
    <w:p w:rsidR="00DE6D5B" w:rsidRDefault="00DE6D5B" w:rsidP="00DE6D5B">
      <w:pPr>
        <w:pStyle w:val="s1bullet3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Раздел 5. Обоснование объема финансовых ресурсов, необходимых для реализации Муниципальной  программы</w:t>
      </w:r>
    </w:p>
    <w:p w:rsidR="00DE6D5B" w:rsidRDefault="00DE6D5B" w:rsidP="00DE6D5B">
      <w:pPr>
        <w:pStyle w:val="1"/>
        <w:spacing w:before="0" w:after="0"/>
        <w:contextualSpacing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</w:p>
    <w:p w:rsidR="00DE6D5B" w:rsidRDefault="00DE6D5B" w:rsidP="00DE6D5B">
      <w:pPr>
        <w:pStyle w:val="s1bullet1gi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Финансирование мероприятий Муниципальной программы осуществляется за счет средств регионального бюджета, местного бюджета   и внебюджетных источников.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Общий объем финансового обеспечения реализации Муниципальной программы в 2020 г составляет за счет всех источников  финансирования – 12064,9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в том числе: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за счет средств регионального бюджета  – 8445,2 тыс. рублей;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за счет средств местного бюджета – 1206,6 тыс. рублей;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внебюджетные источники – 2413,1 тыс. рублей.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Ресурсное обеспечение Муниципальной программы, осуществляемое за счет средств республиканского бюджета Республики Мордовия и бюджета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Предполагается, что при </w:t>
      </w:r>
      <w:proofErr w:type="spellStart"/>
      <w:r>
        <w:rPr>
          <w:sz w:val="28"/>
          <w:szCs w:val="28"/>
        </w:rPr>
        <w:t>софинансировании</w:t>
      </w:r>
      <w:proofErr w:type="spellEnd"/>
      <w:r>
        <w:rPr>
          <w:sz w:val="28"/>
          <w:szCs w:val="28"/>
        </w:rPr>
        <w:t xml:space="preserve">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Ресурсное обеспечение реализации Муниципальной программы приведены в приложении 7 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DE6D5B" w:rsidRDefault="00DE6D5B" w:rsidP="00DE6D5B">
      <w:pPr>
        <w:pStyle w:val="s1bullet3gif"/>
        <w:shd w:val="clear" w:color="auto" w:fill="FFFFFF"/>
        <w:spacing w:before="0" w:beforeAutospacing="0" w:after="0" w:afterAutospacing="0"/>
        <w:ind w:firstLine="72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7. Анализ рисков реализации Муниципальной программы и меры управлению этими рисками с целью минимизации их влияния на достижение целей Муниципальной программы</w:t>
      </w:r>
    </w:p>
    <w:p w:rsidR="00DE6D5B" w:rsidRDefault="00DE6D5B" w:rsidP="00DE6D5B">
      <w:pPr>
        <w:rPr>
          <w:sz w:val="24"/>
          <w:szCs w:val="24"/>
        </w:rPr>
      </w:pPr>
    </w:p>
    <w:p w:rsidR="00DE6D5B" w:rsidRDefault="00DE6D5B" w:rsidP="00DE6D5B">
      <w:pPr>
        <w:pStyle w:val="s1bullet1gi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Основными рисками реализации Муниципальной программы являются финансовые риски, вызванные недостаточностью объемов финансирования из регионального бюджета  в случае изменения социально-экономического положения в республике.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следует отнести следующие: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Муниципальной программой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Муниципальной программы в полном объеме. Данный риск можно оценить как высокий, поскольку формирование новых институтов в рамках Муниципальной 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 Операционные риски, связанные с ошибками управления реализацией Муниципальной программы, в том числе отдельных ее исполнителей, неготовностью организационной инфраструктуры к решению задач, поставленных Муниципальной программой, что может привести к нецелевому и/или неэффективному использованию бюджетных средств, невыполнению ряда мероприятий Муниципальной программы или задержке в их выполнении. </w:t>
      </w:r>
      <w:proofErr w:type="gramStart"/>
      <w:r>
        <w:rPr>
          <w:sz w:val="28"/>
          <w:szCs w:val="28"/>
        </w:rPr>
        <w:t>Данный риск может быть качественно оценен как умеренный, поскольку опыт реализации Республиканской целевой программы «Социальное развитие села до 2013 года», Государственной программы устойчивого развития сельских территорий Республики Мордовия на 2014-2017 годы и на период до 2020 года, подпрограммы «Устойчивое развитие сельских территорий» Государственной  программы Республики Мордовия развития сельского  хозяйства и регулирования рынков сельскохозяйственной продукции, сырья и продовольствия на 2013-2025 годы</w:t>
      </w:r>
      <w:proofErr w:type="gramEnd"/>
      <w:r>
        <w:rPr>
          <w:sz w:val="28"/>
          <w:szCs w:val="28"/>
        </w:rPr>
        <w:t xml:space="preserve"> показывает возможность успешного управления данным риском.</w:t>
      </w:r>
      <w:r>
        <w:rPr>
          <w:sz w:val="28"/>
          <w:szCs w:val="28"/>
        </w:rPr>
        <w:tab/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Данный риск возникает по причине значительной продолжительности Муниципальной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</w:t>
      </w:r>
      <w:proofErr w:type="spellStart"/>
      <w:r>
        <w:rPr>
          <w:sz w:val="28"/>
          <w:szCs w:val="28"/>
        </w:rPr>
        <w:t>бюджетирования</w:t>
      </w:r>
      <w:proofErr w:type="spellEnd"/>
      <w:r>
        <w:rPr>
          <w:sz w:val="28"/>
          <w:szCs w:val="28"/>
        </w:rPr>
        <w:t xml:space="preserve"> в части обеспечения реализации Муниципальной программы за счет средств бюджетов, а также предусмотренные </w:t>
      </w:r>
      <w:r>
        <w:rPr>
          <w:sz w:val="28"/>
          <w:szCs w:val="28"/>
        </w:rPr>
        <w:lastRenderedPageBreak/>
        <w:t>Муниципальной программой меры по созданию условий для привлечения средств внебюджетных источников, риск сбоев в реализации Муниципальной программы по причине недофинансирования можно считать умеренным.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Реализации Муниципальной программы также угрожают следующие риски, которые связаны с изменением внешней среды и которыми невозможно </w:t>
      </w:r>
      <w:proofErr w:type="gramStart"/>
      <w:r>
        <w:rPr>
          <w:sz w:val="28"/>
          <w:szCs w:val="28"/>
        </w:rPr>
        <w:t>управлять</w:t>
      </w:r>
      <w:proofErr w:type="gramEnd"/>
      <w:r>
        <w:rPr>
          <w:sz w:val="28"/>
          <w:szCs w:val="28"/>
        </w:rPr>
        <w:t xml:space="preserve"> в рамках реализации Муниципальной программы: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Муниципальной программы может быть качественно оценен как высокий.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поселениях, а также потребовать концентрации средств федерального бюджета на преодоление последствий таких катастроф. На качественном уровне такой риск для Муниципальной программы можно оценить как умеренный.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Меры управления рисками реализации Муниципальной программы основываются на следующих обстоятельствах: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1. Наибольшее отрицательное влияние из вышеперечисленных рисков на реализацию Муниципальной программы может оказать реализация институционально-правового и риска ухудшения состояния экономики, которые содержат угрозу срыва реализации Муниципальной программы. Поскольку в рамках реализации Муниципальной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 Управление рисками реализации Муниципальной программы, которыми могут управлять ответственный исполнитель и соисполнители Государственной Муниципальной программы, должно соответствовать задачам и полномочиям существующих органов местного самоуправления и организаций, задействованных в реализации Муниципальной программы.</w:t>
      </w:r>
    </w:p>
    <w:p w:rsidR="00DE6D5B" w:rsidRDefault="00DE6D5B" w:rsidP="00DE6D5B">
      <w:pPr>
        <w:pStyle w:val="s1bullet3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Управление рисками реализации Муниципальной программы будет осуществляться путем координации деятельности всех исполнителей, участвующих в реализации Муниципальной программы.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lastRenderedPageBreak/>
        <w:t xml:space="preserve">Раздел 8. Механизм реализации </w:t>
      </w:r>
      <w:r>
        <w:rPr>
          <w:rFonts w:eastAsiaTheme="minorEastAsia"/>
          <w:sz w:val="28"/>
          <w:szCs w:val="28"/>
        </w:rPr>
        <w:t>Муниципальной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программы</w:t>
      </w:r>
    </w:p>
    <w:p w:rsidR="00DE6D5B" w:rsidRDefault="00DE6D5B" w:rsidP="00DE6D5B">
      <w:pPr>
        <w:pStyle w:val="1"/>
        <w:spacing w:before="0" w:after="0"/>
        <w:contextualSpacing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</w:p>
    <w:p w:rsidR="00DE6D5B" w:rsidRDefault="00DE6D5B" w:rsidP="00DE6D5B">
      <w:pPr>
        <w:pStyle w:val="s1bullet1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Координация деятельности участников Муниципальной программы осуществляется администрацией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  <w:r>
        <w:rPr>
          <w:sz w:val="28"/>
          <w:szCs w:val="28"/>
        </w:rPr>
        <w:tab/>
      </w:r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Формы и методы организации управления и контроля за реализацией  Муниципальной программы в целом определяются ответственным исполнителем  Муниципальной программы по согласованию с участниками Муниципальной программы и Министерством сельского хозяйства и продовольствия Республики Мордовия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DE6D5B" w:rsidRDefault="00DE6D5B" w:rsidP="00DE6D5B">
      <w:pPr>
        <w:pStyle w:val="s1bullet2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Текущее управление и оперативный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подпрограмм, включенных в состав  Муниципальной программы, осуществляет  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DE6D5B" w:rsidRDefault="00DE6D5B" w:rsidP="00DE6D5B">
      <w:pPr>
        <w:pStyle w:val="s1bullet3gif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  <w:t xml:space="preserve">Основным критерием участия муниципальных образований в реализации мер,  по которым Муниципальной  программой и входящих в ее состав подпрограмм предусмотрено финансирование за счет средств местных бюджетов, является наличие </w:t>
      </w:r>
      <w:proofErr w:type="spellStart"/>
      <w:r>
        <w:rPr>
          <w:sz w:val="28"/>
          <w:szCs w:val="28"/>
        </w:rPr>
        <w:t>софинансирования</w:t>
      </w:r>
      <w:proofErr w:type="spellEnd"/>
      <w:r>
        <w:rPr>
          <w:sz w:val="28"/>
          <w:szCs w:val="28"/>
        </w:rPr>
        <w:t xml:space="preserve"> мероприятий органами местного самоуправления в рамках утвержденных муниципальных целевых программ.</w:t>
      </w: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Раздел 9.Методика оценки эффективности  </w:t>
      </w:r>
      <w:r>
        <w:rPr>
          <w:rFonts w:eastAsiaTheme="minorEastAsia"/>
          <w:sz w:val="28"/>
          <w:szCs w:val="28"/>
        </w:rPr>
        <w:t xml:space="preserve">Муниципальной 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программы</w:t>
      </w:r>
    </w:p>
    <w:p w:rsidR="00DE6D5B" w:rsidRDefault="00DE6D5B" w:rsidP="00DE6D5B">
      <w:pPr>
        <w:pStyle w:val="msonormalbullet1gif"/>
        <w:rPr>
          <w:sz w:val="28"/>
          <w:szCs w:val="28"/>
        </w:rPr>
      </w:pP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 xml:space="preserve">Оценка эффективности реализации  </w:t>
      </w:r>
      <w:proofErr w:type="spellStart"/>
      <w:r>
        <w:rPr>
          <w:sz w:val="28"/>
          <w:szCs w:val="28"/>
        </w:rPr>
        <w:t>Муниципальнойпрограммы</w:t>
      </w:r>
      <w:proofErr w:type="spellEnd"/>
      <w:r>
        <w:rPr>
          <w:sz w:val="28"/>
          <w:szCs w:val="28"/>
        </w:rPr>
        <w:t xml:space="preserve">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 </w:t>
      </w:r>
      <w:r>
        <w:rPr>
          <w:sz w:val="28"/>
          <w:szCs w:val="28"/>
          <w:u w:val="single"/>
        </w:rPr>
        <w:t xml:space="preserve">Муниципальной </w:t>
      </w:r>
      <w:r>
        <w:rPr>
          <w:sz w:val="28"/>
          <w:szCs w:val="28"/>
        </w:rPr>
        <w:t>программы оценивается исходя из соответствия его ожидаемых результатов поставленной цели.</w:t>
      </w:r>
    </w:p>
    <w:p w:rsidR="00DE6D5B" w:rsidRDefault="00DE6D5B" w:rsidP="00DE6D5B">
      <w:pPr>
        <w:pStyle w:val="msonormalbullet2gif"/>
        <w:rPr>
          <w:sz w:val="28"/>
          <w:szCs w:val="28"/>
        </w:rPr>
      </w:pPr>
      <w:r>
        <w:rPr>
          <w:sz w:val="28"/>
          <w:szCs w:val="28"/>
        </w:rPr>
        <w:t>Оценка эффективности реализации отдельных мероприятий Муниципальной программы определяется на основе расчетов по следующей формуле: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400175" cy="56197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 где: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эффективность хода реализации отдельного мероприятия </w:t>
      </w:r>
      <w:r>
        <w:rPr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программы (в процентах);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Tf1 - фактический показатель выполнения отдельного мероприятия </w:t>
      </w:r>
      <w:r>
        <w:rPr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программы, достигнутый в ходе ее реализации;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>
        <w:rPr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программой.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Интегральная оценка эффективности реализации </w:t>
      </w:r>
      <w:r>
        <w:rPr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программы определяется на основе расчетов по следующей формуле: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0325" cy="885825"/>
            <wp:effectExtent l="19050" t="0" r="0" b="0"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, где: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>
        <w:rPr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программы (в процентах);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фактические показатели,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достигнутый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ходе реализации </w:t>
      </w:r>
      <w:r>
        <w:rPr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программы;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 </w:t>
      </w:r>
      <w:r>
        <w:rPr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программой;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color w:val="auto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13" w:name="sub_30000"/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pStyle w:val="1"/>
        <w:rPr>
          <w:rFonts w:eastAsiaTheme="minorEastAsia"/>
        </w:rPr>
      </w:pPr>
      <w:r>
        <w:rPr>
          <w:rFonts w:eastAsiaTheme="minorEastAsia"/>
        </w:rPr>
        <w:t>Сведения</w:t>
      </w:r>
      <w:r>
        <w:rPr>
          <w:rFonts w:eastAsiaTheme="minorEastAsia"/>
        </w:rPr>
        <w:br/>
        <w:t>о достижении значений показателей (индикаторов)</w:t>
      </w:r>
    </w:p>
    <w:p w:rsidR="00DE6D5B" w:rsidRDefault="00DE6D5B" w:rsidP="00DE6D5B"/>
    <w:tbl>
      <w:tblPr>
        <w:tblW w:w="107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30"/>
        <w:gridCol w:w="1977"/>
        <w:gridCol w:w="977"/>
        <w:gridCol w:w="1978"/>
        <w:gridCol w:w="1400"/>
        <w:gridCol w:w="1559"/>
        <w:gridCol w:w="2127"/>
        <w:gridCol w:w="7"/>
      </w:tblGrid>
      <w:tr w:rsidR="00DE6D5B" w:rsidTr="00DE6D5B">
        <w:trPr>
          <w:gridAfter w:val="1"/>
          <w:wAfter w:w="7" w:type="dxa"/>
        </w:trPr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9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Значения показателей (индикаторов) муниципальной программы </w:t>
            </w:r>
            <w:proofErr w:type="spellStart"/>
            <w:r>
              <w:rPr>
                <w:sz w:val="20"/>
                <w:szCs w:val="20"/>
              </w:rPr>
              <w:t>Медаевского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Чамзинского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 (подпрограммы муниципальной программы </w:t>
            </w:r>
            <w:proofErr w:type="spellStart"/>
            <w:r>
              <w:rPr>
                <w:sz w:val="20"/>
                <w:szCs w:val="20"/>
              </w:rPr>
              <w:t>Медаевского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Чамзинского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DE6D5B" w:rsidTr="00DE6D5B">
        <w:trPr>
          <w:gridAfter w:val="1"/>
          <w:wAfter w:w="7" w:type="dxa"/>
        </w:trPr>
        <w:tc>
          <w:tcPr>
            <w:tcW w:w="10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год, предшествующий </w:t>
            </w:r>
            <w:proofErr w:type="gramStart"/>
            <w:r>
              <w:rPr>
                <w:sz w:val="20"/>
                <w:szCs w:val="20"/>
              </w:rPr>
              <w:t>отчетному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hyperlink r:id="rId16" w:anchor="sub_1101" w:history="1">
              <w:r>
                <w:rPr>
                  <w:rStyle w:val="a7"/>
                </w:rPr>
                <w:t>&lt;1&gt;</w:t>
              </w:r>
            </w:hyperlink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отчетный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</w:tr>
      <w:tr w:rsidR="00DE6D5B" w:rsidTr="00DE6D5B">
        <w:trPr>
          <w:gridAfter w:val="1"/>
          <w:wAfter w:w="7" w:type="dxa"/>
        </w:trPr>
        <w:tc>
          <w:tcPr>
            <w:tcW w:w="10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107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Муниципальная программа «Комплексное развитие сельских территорий на 2020 – 2025 годы»</w:t>
            </w:r>
          </w:p>
        </w:tc>
      </w:tr>
      <w:tr w:rsidR="00DE6D5B" w:rsidTr="00DE6D5B">
        <w:trPr>
          <w:gridAfter w:val="1"/>
          <w:wAfter w:w="7" w:type="dxa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«Комплексное развитие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сельских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территори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E6D5B" w:rsidTr="00DE6D5B">
        <w:trPr>
          <w:gridAfter w:val="1"/>
          <w:wAfter w:w="7" w:type="dxa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16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</w:tr>
      <w:tr w:rsidR="00DE6D5B" w:rsidTr="00DE6D5B">
        <w:trPr>
          <w:gridAfter w:val="1"/>
          <w:wAfter w:w="7" w:type="dxa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</w:tr>
      <w:tr w:rsidR="00DE6D5B" w:rsidTr="00DE6D5B">
        <w:trPr>
          <w:gridAfter w:val="1"/>
          <w:wAfter w:w="7" w:type="dxa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</w:p>
        </w:tc>
      </w:tr>
    </w:tbl>
    <w:p w:rsidR="00DE6D5B" w:rsidRDefault="00DE6D5B" w:rsidP="00DE6D5B">
      <w:pPr>
        <w:rPr>
          <w:rFonts w:ascii="Times New Roman CYR" w:hAnsi="Times New Roman CYR" w:cs="Times New Roman CYR"/>
        </w:rPr>
      </w:pPr>
    </w:p>
    <w:p w:rsidR="00DE6D5B" w:rsidRDefault="00DE6D5B" w:rsidP="00DE6D5B">
      <w:r>
        <w:t>--------------------------------</w:t>
      </w:r>
    </w:p>
    <w:p w:rsidR="00DE6D5B" w:rsidRDefault="00DE6D5B" w:rsidP="00DE6D5B">
      <w:bookmarkStart w:id="14" w:name="sub_1101"/>
      <w:r>
        <w:lastRenderedPageBreak/>
        <w:t>&lt;1</w:t>
      </w:r>
      <w:proofErr w:type="gramStart"/>
      <w:r>
        <w:t>&gt; П</w:t>
      </w:r>
      <w:proofErr w:type="gramEnd"/>
      <w:r>
        <w:t>риводится фактическое значение индикатора или показателя за год, предшествующий отчетному.</w:t>
      </w:r>
    </w:p>
    <w:bookmarkEnd w:id="14"/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bCs w:val="0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Cs w:val="0"/>
          <w:sz w:val="24"/>
          <w:szCs w:val="24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bCs w:val="0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DE6D5B" w:rsidRDefault="00DE6D5B" w:rsidP="00DE6D5B">
      <w:pPr>
        <w:rPr>
          <w:rFonts w:ascii="Times New Roman" w:eastAsia="Times New Roman" w:hAnsi="Times New Roman" w:cs="Times New Roman"/>
          <w:b/>
          <w:sz w:val="28"/>
          <w:szCs w:val="28"/>
        </w:rPr>
        <w:sectPr w:rsidR="00DE6D5B" w:rsidSect="0009286C">
          <w:pgSz w:w="16837" w:h="11905" w:orient="landscape"/>
          <w:pgMar w:top="1701" w:right="1135" w:bottom="800" w:left="1276" w:header="720" w:footer="720" w:gutter="0"/>
          <w:pgNumType w:start="26"/>
          <w:cols w:space="720"/>
          <w:docGrid w:linePitch="299"/>
        </w:sectPr>
      </w:pPr>
    </w:p>
    <w:p w:rsidR="00DE6D5B" w:rsidRDefault="00DE6D5B" w:rsidP="00DE6D5B">
      <w:pPr>
        <w:pStyle w:val="1"/>
        <w:rPr>
          <w:rFonts w:eastAsiaTheme="minorEastAsia"/>
          <w:color w:val="000000"/>
        </w:rPr>
      </w:pPr>
      <w:bookmarkStart w:id="15" w:name="_GoBack"/>
      <w:bookmarkEnd w:id="15"/>
      <w:r>
        <w:rPr>
          <w:rFonts w:eastAsiaTheme="minorEastAsia"/>
        </w:rPr>
        <w:lastRenderedPageBreak/>
        <w:t>Информация</w:t>
      </w:r>
      <w:r>
        <w:rPr>
          <w:rFonts w:eastAsiaTheme="minorEastAsia"/>
        </w:rPr>
        <w:br/>
      </w:r>
      <w:r>
        <w:rPr>
          <w:rFonts w:ascii="Times New Roman" w:eastAsiaTheme="minorEastAsia" w:hAnsi="Times New Roman" w:cs="Times New Roman"/>
          <w:b w:val="0"/>
          <w:bCs w:val="0"/>
          <w:color w:val="000000"/>
        </w:rPr>
        <w:t xml:space="preserve">о финансировании муниципальной программы </w:t>
      </w:r>
      <w:proofErr w:type="spellStart"/>
      <w:r>
        <w:rPr>
          <w:rFonts w:ascii="Times New Roman" w:eastAsiaTheme="minorEastAsia" w:hAnsi="Times New Roman" w:cs="Times New Roman"/>
          <w:b w:val="0"/>
          <w:bCs w:val="0"/>
          <w:color w:val="000000"/>
        </w:rPr>
        <w:t>Медаевского</w:t>
      </w:r>
      <w:proofErr w:type="spellEnd"/>
      <w:r>
        <w:rPr>
          <w:rFonts w:ascii="Times New Roman" w:eastAsiaTheme="minorEastAsia" w:hAnsi="Times New Roman" w:cs="Times New Roman"/>
          <w:b w:val="0"/>
          <w:bCs w:val="0"/>
          <w:color w:val="000000"/>
        </w:rPr>
        <w:t xml:space="preserve"> сельского поселения </w:t>
      </w:r>
      <w:proofErr w:type="spellStart"/>
      <w:r>
        <w:rPr>
          <w:rFonts w:ascii="Times New Roman" w:eastAsiaTheme="minorEastAsia" w:hAnsi="Times New Roman" w:cs="Times New Roman"/>
          <w:b w:val="0"/>
          <w:bCs w:val="0"/>
          <w:color w:val="000000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b w:val="0"/>
          <w:bCs w:val="0"/>
          <w:color w:val="000000"/>
        </w:rPr>
        <w:t xml:space="preserve"> муниципального района Республики Мордовия</w:t>
      </w:r>
    </w:p>
    <w:p w:rsidR="00DE6D5B" w:rsidRDefault="00DE6D5B" w:rsidP="00DE6D5B">
      <w:pPr>
        <w:pStyle w:val="1"/>
        <w:rPr>
          <w:rFonts w:eastAsiaTheme="minorEastAsia"/>
          <w:b w:val="0"/>
          <w:bCs w:val="0"/>
          <w:color w:val="000000"/>
        </w:rPr>
      </w:pPr>
      <w:r>
        <w:rPr>
          <w:rFonts w:eastAsiaTheme="minorEastAsia"/>
          <w:b w:val="0"/>
          <w:bCs w:val="0"/>
          <w:color w:val="000000"/>
        </w:rPr>
        <w:t>Муниципальная программа «Комплексное развитие сельских территорий на 2020 – 2025 годы»</w:t>
      </w:r>
    </w:p>
    <w:p w:rsidR="00DE6D5B" w:rsidRDefault="00DE6D5B" w:rsidP="00DE6D5B">
      <w:pPr>
        <w:pStyle w:val="1"/>
        <w:rPr>
          <w:rFonts w:ascii="Times New Roman" w:eastAsiaTheme="minorEastAsia" w:hAnsi="Times New Roman" w:cs="Times New Roman"/>
          <w:color w:val="000000"/>
        </w:rPr>
      </w:pPr>
      <w:r>
        <w:rPr>
          <w:rFonts w:ascii="Times New Roman" w:eastAsiaTheme="minorEastAsia" w:hAnsi="Times New Roman" w:cs="Times New Roman"/>
          <w:color w:val="000000"/>
        </w:rPr>
        <w:t>за 2020 года</w:t>
      </w:r>
    </w:p>
    <w:tbl>
      <w:tblPr>
        <w:tblW w:w="158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52"/>
        <w:gridCol w:w="2126"/>
        <w:gridCol w:w="1982"/>
        <w:gridCol w:w="1843"/>
        <w:gridCol w:w="2125"/>
        <w:gridCol w:w="1417"/>
        <w:gridCol w:w="2125"/>
      </w:tblGrid>
      <w:tr w:rsidR="00DE6D5B" w:rsidTr="00DE6D5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программы </w:t>
            </w:r>
            <w:proofErr w:type="spellStart"/>
            <w:r>
              <w:rPr>
                <w:sz w:val="20"/>
                <w:szCs w:val="20"/>
              </w:rPr>
              <w:t>Медаевского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Чамзинского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Мордовия, подпрограммы муниципальной программы </w:t>
            </w:r>
            <w:proofErr w:type="spellStart"/>
            <w:r>
              <w:rPr>
                <w:sz w:val="20"/>
                <w:szCs w:val="20"/>
              </w:rPr>
              <w:t>Медаевского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Чамзинского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 Республики Мордовия (в том числе основного мероприятия, регионального проекта)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Предусмотрено муниципальной программой, тыс. рублей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Предусмотрено бюджетом, соглашениями, тыс. 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 профинансировано, тыс. 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Освоено, тыс. 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Краткое описание реализованных мероприятий</w:t>
            </w:r>
          </w:p>
        </w:tc>
      </w:tr>
      <w:tr w:rsidR="00DE6D5B" w:rsidTr="00DE6D5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E6D5B" w:rsidTr="00DE6D5B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</w:pPr>
            <w:r>
              <w:rPr>
                <w:sz w:val="22"/>
                <w:szCs w:val="22"/>
              </w:rPr>
              <w:t>Муниципальная программа «</w:t>
            </w:r>
            <w:r>
              <w:t>Комплексное развитие сельских территорий на 2020 – 2025 годы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highlight w:val="yellow"/>
              </w:rPr>
            </w:pPr>
            <w:r>
              <w:t>Подпрограмма «</w:t>
            </w:r>
            <w:r>
              <w:rPr>
                <w:rFonts w:ascii="Times New Roman" w:hAnsi="Times New Roman"/>
              </w:rPr>
              <w:t>Создание условий для обеспечения доступным и комфортным жильем сельского населения»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</w:pPr>
            <w:r>
              <w:t>Основное мероприятие «</w:t>
            </w:r>
            <w:r>
              <w:rPr>
                <w:rFonts w:ascii="Times New Roman" w:hAnsi="Times New Roman"/>
              </w:rPr>
              <w:t>Льготная сельская ипотека»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внебюджетные </w:t>
            </w:r>
            <w:r>
              <w:rPr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E6D5B" w:rsidTr="00DE6D5B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lastRenderedPageBreak/>
              <w:t>Подпрограмма «Создание и развитие инфраструктуры на сельских территориях»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" w:hAnsi="Times New Roman"/>
                <w:lang w:eastAsia="ar-SA"/>
              </w:rPr>
              <w:t>Основное мероприятие «Благоустройство сельских территорий»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4028,3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Основное мероприятие «Развитие инженерной инфраструктуры»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DE6D5B" w:rsidTr="00DE6D5B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</w:tbl>
    <w:p w:rsidR="00DE6D5B" w:rsidRDefault="00DE6D5B" w:rsidP="00DE6D5B">
      <w:pPr>
        <w:rPr>
          <w:rFonts w:ascii="Times New Roman" w:hAnsi="Times New Roman" w:cs="Times New Roman"/>
          <w:color w:val="26282F"/>
        </w:rPr>
        <w:sectPr w:rsidR="00DE6D5B">
          <w:pgSz w:w="16837" w:h="11905" w:orient="landscape"/>
          <w:pgMar w:top="567" w:right="567" w:bottom="567" w:left="567" w:header="720" w:footer="720" w:gutter="0"/>
          <w:cols w:space="720"/>
        </w:sect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DE6D5B" w:rsidRDefault="00DE6D5B" w:rsidP="00DE6D5B">
      <w:pPr>
        <w:rPr>
          <w:rFonts w:ascii="Times New Roman" w:eastAsia="Times New Roman" w:hAnsi="Times New Roman" w:cs="Times New Roman"/>
          <w:color w:val="FF0000"/>
          <w:sz w:val="28"/>
          <w:szCs w:val="28"/>
        </w:rPr>
        <w:sectPr w:rsidR="00DE6D5B">
          <w:pgSz w:w="16837" w:h="11905" w:orient="landscape"/>
          <w:pgMar w:top="426" w:right="535" w:bottom="800" w:left="1276" w:header="720" w:footer="720" w:gutter="0"/>
          <w:cols w:space="720"/>
        </w:sectPr>
      </w:pPr>
    </w:p>
    <w:p w:rsidR="00DE6D5B" w:rsidRDefault="00DE6D5B" w:rsidP="00DE6D5B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ab/>
      </w:r>
    </w:p>
    <w:p w:rsidR="00DE6D5B" w:rsidRDefault="00DE6D5B" w:rsidP="00DE6D5B">
      <w:pPr>
        <w:pStyle w:val="empty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bookmarkEnd w:id="13"/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6D5B" w:rsidRDefault="00DE6D5B" w:rsidP="00DE6D5B">
      <w:pPr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DE6D5B">
          <w:pgSz w:w="11905" w:h="16837"/>
          <w:pgMar w:top="1440" w:right="800" w:bottom="1276" w:left="1701" w:header="720" w:footer="720" w:gutter="0"/>
          <w:cols w:space="720"/>
        </w:sect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922"/>
        <w:gridCol w:w="5438"/>
      </w:tblGrid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6D5B" w:rsidTr="00DE6D5B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E6D5B" w:rsidRDefault="00DE6D5B" w:rsidP="00DE6D5B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E6D5B" w:rsidRDefault="00DE6D5B" w:rsidP="00DE6D5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E6D5B" w:rsidRDefault="00DE6D5B" w:rsidP="00DE6D5B">
      <w:pPr>
        <w:pStyle w:val="a4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color w:val="auto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Style w:val="a6"/>
          <w:rFonts w:ascii="Times New Roman" w:hAnsi="Times New Roman" w:cs="Times New Roman"/>
          <w:sz w:val="28"/>
          <w:szCs w:val="28"/>
        </w:rPr>
        <w:sectPr w:rsidR="00DE6D5B">
          <w:pgSz w:w="11905" w:h="16837"/>
          <w:pgMar w:top="709" w:right="800" w:bottom="1440" w:left="1276" w:header="720" w:footer="720" w:gutter="0"/>
          <w:cols w:space="720"/>
        </w:sectPr>
      </w:pPr>
    </w:p>
    <w:p w:rsidR="00DE6D5B" w:rsidRDefault="00DE6D5B" w:rsidP="00DE6D5B">
      <w:pPr>
        <w:ind w:left="-567" w:firstLine="1287"/>
        <w:jc w:val="right"/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rPr>
          <w:rFonts w:eastAsiaTheme="minorEastAsia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Сведения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br/>
      </w: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Муниципальной программы  </w:t>
      </w:r>
    </w:p>
    <w:p w:rsidR="00DE6D5B" w:rsidRDefault="00DE6D5B" w:rsidP="00DE6D5B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color w:val="auto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Приложение 1</w:t>
      </w: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к Муниципальной программе    </w:t>
      </w: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к Муниципальной программе</w:t>
      </w: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Style w:val="a6"/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DE6D5B" w:rsidRDefault="00DE6D5B" w:rsidP="00DE6D5B">
      <w:pPr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rPr>
          <w:rFonts w:eastAsiaTheme="minorEastAsia"/>
        </w:rPr>
      </w:pPr>
    </w:p>
    <w:tbl>
      <w:tblPr>
        <w:tblpPr w:leftFromText="180" w:rightFromText="180" w:bottomFromText="200" w:vertAnchor="text" w:horzAnchor="margin" w:tblpX="-714" w:tblpY="-1275"/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39"/>
        <w:gridCol w:w="3836"/>
        <w:gridCol w:w="1558"/>
        <w:gridCol w:w="1526"/>
        <w:gridCol w:w="1134"/>
        <w:gridCol w:w="1559"/>
        <w:gridCol w:w="1701"/>
        <w:gridCol w:w="1559"/>
        <w:gridCol w:w="1843"/>
      </w:tblGrid>
      <w:tr w:rsidR="00DE6D5B" w:rsidTr="00DE6D5B">
        <w:trPr>
          <w:gridAfter w:val="6"/>
          <w:wAfter w:w="9322" w:type="dxa"/>
          <w:trHeight w:val="70"/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DE6D5B" w:rsidRDefault="00DE6D5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показателя  (индикатора)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Единицы измерения</w:t>
            </w:r>
          </w:p>
        </w:tc>
      </w:tr>
      <w:tr w:rsidR="00DE6D5B" w:rsidTr="00DE6D5B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DE6D5B" w:rsidTr="00DE6D5B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</w:tr>
      <w:tr w:rsidR="00DE6D5B" w:rsidTr="00DE6D5B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D5B" w:rsidTr="00DE6D5B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E6D5B" w:rsidTr="00DE6D5B">
        <w:trPr>
          <w:tblHeader/>
        </w:trPr>
        <w:tc>
          <w:tcPr>
            <w:tcW w:w="155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«Комплексное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</w:tr>
      <w:tr w:rsidR="00DE6D5B" w:rsidTr="00DE6D5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5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E6D5B" w:rsidRDefault="00DE6D5B" w:rsidP="00DE6D5B">
      <w:pPr>
        <w:ind w:left="-567" w:firstLine="1287"/>
        <w:jc w:val="right"/>
        <w:rPr>
          <w:rStyle w:val="a6"/>
          <w:color w:val="auto"/>
          <w:sz w:val="28"/>
          <w:szCs w:val="28"/>
        </w:rPr>
      </w:pPr>
    </w:p>
    <w:p w:rsidR="00DE6D5B" w:rsidRDefault="00DE6D5B" w:rsidP="00DE6D5B">
      <w:pPr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Приложение 2</w:t>
      </w: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к </w:t>
      </w:r>
      <w:hyperlink r:id="rId17" w:anchor="sub_1000" w:history="1">
        <w:r>
          <w:rPr>
            <w:rStyle w:val="a7"/>
            <w:rFonts w:ascii="Times New Roman" w:hAnsi="Times New Roman" w:cs="Times New Roman"/>
            <w:sz w:val="28"/>
            <w:szCs w:val="28"/>
          </w:rPr>
          <w:t>Муниципальной программе</w:t>
        </w:r>
      </w:hyperlink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DE6D5B" w:rsidRDefault="00DE6D5B" w:rsidP="00DE6D5B">
      <w:pPr>
        <w:pStyle w:val="1"/>
        <w:spacing w:before="0" w:after="0"/>
        <w:rPr>
          <w:rFonts w:eastAsiaTheme="minorEastAsia"/>
          <w:b w:val="0"/>
        </w:rPr>
      </w:pP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Перечень</w:t>
      </w:r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br/>
      </w: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основных мероприятий Муниципальной программы </w:t>
      </w:r>
    </w:p>
    <w:p w:rsidR="00DE6D5B" w:rsidRDefault="00DE6D5B" w:rsidP="00DE6D5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8"/>
        <w:gridCol w:w="2219"/>
        <w:gridCol w:w="2080"/>
        <w:gridCol w:w="1386"/>
        <w:gridCol w:w="1386"/>
        <w:gridCol w:w="2773"/>
        <w:gridCol w:w="2219"/>
        <w:gridCol w:w="2634"/>
      </w:tblGrid>
      <w:tr w:rsidR="00DE6D5B" w:rsidTr="00DE6D5B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Последствия </w:t>
            </w:r>
            <w:proofErr w:type="spellStart"/>
            <w:r>
              <w:rPr>
                <w:rFonts w:ascii="Times New Roman" w:hAnsi="Times New Roman" w:cs="Times New Roman"/>
              </w:rPr>
              <w:t>нереализации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Связь с показателями   муниципальной программы</w:t>
            </w:r>
          </w:p>
        </w:tc>
      </w:tr>
      <w:tr w:rsidR="00DE6D5B" w:rsidTr="00DE6D5B">
        <w:trPr>
          <w:tblHeader/>
        </w:trPr>
        <w:tc>
          <w:tcPr>
            <w:tcW w:w="15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5B" w:rsidRDefault="00DE6D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D5B" w:rsidTr="00DE6D5B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E6D5B" w:rsidTr="00DE6D5B">
        <w:tc>
          <w:tcPr>
            <w:tcW w:w="15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Программа «Комплексное развитие сельских территорий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Мордовия»</w:t>
            </w:r>
          </w:p>
        </w:tc>
      </w:tr>
      <w:tr w:rsidR="00DE6D5B" w:rsidTr="00DE6D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  6 общественно-значимых проекта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D5B" w:rsidRDefault="00DE6D5B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общественно-значимых проектов по благоустройству территорий 6 единиц</w:t>
            </w:r>
          </w:p>
        </w:tc>
      </w:tr>
    </w:tbl>
    <w:p w:rsidR="00DE6D5B" w:rsidRDefault="00DE6D5B" w:rsidP="00DE6D5B">
      <w:pPr>
        <w:rPr>
          <w:rStyle w:val="a6"/>
          <w:color w:val="auto"/>
          <w:sz w:val="28"/>
          <w:szCs w:val="28"/>
        </w:rPr>
      </w:pPr>
    </w:p>
    <w:p w:rsidR="00DE6D5B" w:rsidRDefault="00DE6D5B" w:rsidP="00DE6D5B">
      <w:pPr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Style w:val="a6"/>
          <w:rFonts w:ascii="Times New Roman" w:hAnsi="Times New Roman" w:cs="Times New Roman"/>
          <w:sz w:val="28"/>
          <w:szCs w:val="28"/>
        </w:rPr>
      </w:pPr>
    </w:p>
    <w:p w:rsidR="00DE6D5B" w:rsidRDefault="00DE6D5B" w:rsidP="00DE6D5B">
      <w:pPr>
        <w:rPr>
          <w:rStyle w:val="a6"/>
          <w:rFonts w:ascii="Times New Roman" w:hAnsi="Times New Roman" w:cs="Times New Roman"/>
          <w:sz w:val="28"/>
          <w:szCs w:val="28"/>
        </w:rPr>
      </w:pPr>
    </w:p>
    <w:p w:rsidR="00F644F7" w:rsidRDefault="00F644F7"/>
    <w:sectPr w:rsidR="00F64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E6D5B"/>
    <w:rsid w:val="0009286C"/>
    <w:rsid w:val="00DE6D5B"/>
    <w:rsid w:val="00F64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DE6D5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6D5B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E6D5B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DE6D5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DE6D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E6D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Цветовое выделение"/>
    <w:uiPriority w:val="99"/>
    <w:rsid w:val="00DE6D5B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DE6D5B"/>
    <w:rPr>
      <w:color w:val="106BBE"/>
    </w:rPr>
  </w:style>
  <w:style w:type="paragraph" w:customStyle="1" w:styleId="s1bullet1gif">
    <w:name w:val="s1bullet1.gif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bullet3gif">
    <w:name w:val="s1bullet3.gif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bullet2gif">
    <w:name w:val="s1bullet2.gif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DE6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E6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6D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0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file:///C:\Users\&#1040;&#1076;&#1084;&#1080;&#1085;&#1080;&#1089;&#1090;&#1088;&#1072;&#1090;&#1086;&#1088;\Desktop\&#1087;&#1088;&#1086;&#1077;&#1082;&#1090;&#1099;,%20&#1088;&#1077;&#1077;&#1089;&#1090;&#1088;&#1099;\&#1087;&#1086;&#1089;&#1090;&#1072;&#1085;&#1086;&#1074;&#1083;&#1077;&#1085;&#1080;&#1077;%20&#1050;&#1086;&#1084;&#1087;&#1083;&#1077;&#1082;&#1089;&#1085;&#1086;&#1077;%20&#1088;&#1072;&#1079;&#1074;&#1080;&#1090;&#1080;&#1077;%20&#1089;&#1077;&#1083;&#1100;&#1089;&#1082;&#1080;&#1093;%20&#1090;&#1077;&#1088;&#1088;&#1080;&#1090;&#1086;&#1088;&#1080;&#1081;.docx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&#1040;&#1076;&#1084;&#1080;&#1085;&#1080;&#1089;&#1090;&#1088;&#1072;&#1090;&#1086;&#1088;\Desktop\&#1087;&#1088;&#1086;&#1077;&#1082;&#1090;&#1099;,%20&#1088;&#1077;&#1077;&#1089;&#1090;&#1088;&#1099;\&#1087;&#1086;&#1089;&#1090;&#1072;&#1085;&#1086;&#1074;&#1083;&#1077;&#1085;&#1080;&#1077;%20&#1050;&#1086;&#1084;&#1087;&#1083;&#1077;&#1082;&#1089;&#1085;&#1086;&#1077;%20&#1088;&#1072;&#1079;&#1074;&#1080;&#1090;&#1080;&#1077;%20&#1089;&#1077;&#1083;&#1100;&#1089;&#1082;&#1080;&#1093;%20&#1090;&#1077;&#1088;&#1088;&#1080;&#1090;&#1086;&#1088;&#1080;&#1081;.docx" TargetMode="Externa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5" Type="http://schemas.openxmlformats.org/officeDocument/2006/relationships/image" Target="media/image2.emf"/><Relationship Id="rId10" Type="http://schemas.openxmlformats.org/officeDocument/2006/relationships/hyperlink" Target="http://mobileonline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mobileonline.garant.ru/" TargetMode="External"/><Relationship Id="rId9" Type="http://schemas.openxmlformats.org/officeDocument/2006/relationships/hyperlink" Target="http://mobileonline.garant.ru/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4994</Words>
  <Characters>28469</Characters>
  <Application>Microsoft Office Word</Application>
  <DocSecurity>0</DocSecurity>
  <Lines>237</Lines>
  <Paragraphs>66</Paragraphs>
  <ScaleCrop>false</ScaleCrop>
  <Company/>
  <LinksUpToDate>false</LinksUpToDate>
  <CharactersWithSpaces>33397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2021-08-11T09:07:00Z</dcterms:created>
  <dcterms:modified xsi:type="dcterms:W3CDTF">2021-08-11T09:09:00Z</dcterms:modified>
</cp:coreProperties>
</file>