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4000000">
      <w:pPr>
        <w:spacing w:after="240" w:before="120" w:line="240" w:lineRule="auto"/>
        <w:ind/>
        <w:outlineLvl w:val="0"/>
        <w:rPr>
          <w:b w:val="1"/>
          <w:sz w:val="24"/>
        </w:rPr>
      </w:pPr>
    </w:p>
    <w:p w14:paraId="05000000">
      <w:pPr>
        <w:spacing w:after="240" w:before="120" w:line="240" w:lineRule="auto"/>
        <w:ind/>
        <w:jc w:val="right"/>
        <w:outlineLvl w:val="0"/>
        <w:rPr>
          <w:b w:val="1"/>
          <w:sz w:val="24"/>
        </w:rPr>
      </w:pPr>
      <w:r>
        <w:rPr>
          <w:b w:val="1"/>
          <w:sz w:val="24"/>
        </w:rPr>
        <w:t>1</w:t>
      </w:r>
      <w:r>
        <w:rPr>
          <w:b w:val="1"/>
          <w:sz w:val="24"/>
        </w:rPr>
        <w:t>1</w:t>
      </w:r>
      <w:r>
        <w:rPr>
          <w:b w:val="1"/>
          <w:sz w:val="24"/>
        </w:rPr>
        <w:t xml:space="preserve"> </w:t>
      </w:r>
      <w:r>
        <w:rPr>
          <w:b w:val="1"/>
          <w:sz w:val="24"/>
        </w:rPr>
        <w:t>/ 0</w:t>
      </w:r>
      <w:r>
        <w:rPr>
          <w:b w:val="1"/>
          <w:sz w:val="24"/>
        </w:rPr>
        <w:t>8 / 2021</w:t>
      </w:r>
    </w:p>
    <w:p w14:paraId="06000000">
      <w:pPr>
        <w:spacing w:after="120" w:before="120" w:line="240" w:lineRule="auto"/>
        <w:ind/>
        <w:jc w:val="center"/>
        <w:outlineLvl w:val="0"/>
        <w:rPr>
          <w:rFonts w:ascii="Arial" w:hAnsi="Arial"/>
          <w:color w:val="339966"/>
          <w:sz w:val="32"/>
        </w:rPr>
      </w:pPr>
      <w:r>
        <w:rPr>
          <w:rFonts w:ascii="Arial" w:hAnsi="Arial"/>
          <w:color w:val="339966"/>
          <w:sz w:val="32"/>
        </w:rPr>
        <w:t>СЕЛЬХОЗ</w:t>
      </w:r>
      <w:r>
        <w:rPr>
          <w:rFonts w:ascii="Arial" w:hAnsi="Arial"/>
          <w:color w:val="339966"/>
          <w:sz w:val="32"/>
        </w:rPr>
        <w:t>ПЕРЕПИСЬ</w:t>
      </w:r>
      <w:r>
        <w:rPr>
          <w:rFonts w:ascii="Arial" w:hAnsi="Arial"/>
          <w:color w:val="339966"/>
          <w:sz w:val="32"/>
        </w:rPr>
        <w:t>-2021</w:t>
      </w:r>
      <w:r>
        <w:rPr>
          <w:rFonts w:ascii="Arial" w:hAnsi="Arial"/>
          <w:color w:val="339966"/>
          <w:sz w:val="32"/>
        </w:rPr>
        <w:t>: 10 ДНЕЙ ПОЗАДИ</w:t>
      </w:r>
    </w:p>
    <w:p w14:paraId="07000000">
      <w:pPr>
        <w:spacing w:after="120" w:before="120" w:line="360" w:lineRule="auto"/>
        <w:ind w:firstLine="709"/>
        <w:jc w:val="both"/>
        <w:rPr>
          <w:rFonts w:ascii="Arial Narrow" w:hAnsi="Arial Narrow"/>
          <w:i w:val="1"/>
          <w:sz w:val="24"/>
        </w:rPr>
      </w:pPr>
    </w:p>
    <w:p w14:paraId="08000000">
      <w:pPr>
        <w:spacing w:after="120" w:before="120" w:line="360" w:lineRule="auto"/>
        <w:ind w:firstLine="709"/>
        <w:jc w:val="both"/>
        <w:rPr>
          <w:rFonts w:ascii="Arial Narrow" w:hAnsi="Arial Narrow"/>
          <w:i w:val="1"/>
          <w:sz w:val="24"/>
        </w:rPr>
      </w:pPr>
      <w:r>
        <w:rPr>
          <w:rFonts w:ascii="Arial Narrow" w:hAnsi="Arial Narrow"/>
          <w:i w:val="1"/>
          <w:sz w:val="24"/>
        </w:rPr>
        <w:t>Стартовавшая 1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 xml:space="preserve">августа 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>С</w:t>
      </w:r>
      <w:r>
        <w:rPr>
          <w:rFonts w:ascii="Arial Narrow" w:hAnsi="Arial Narrow"/>
          <w:i w:val="1"/>
          <w:sz w:val="24"/>
        </w:rPr>
        <w:t>ельскохозяйственная микроперепись</w:t>
      </w:r>
      <w:r>
        <w:rPr>
          <w:rFonts w:ascii="Arial Narrow" w:hAnsi="Arial Narrow"/>
          <w:i w:val="1"/>
          <w:sz w:val="24"/>
        </w:rPr>
        <w:t>-</w:t>
      </w:r>
      <w:r>
        <w:rPr>
          <w:rFonts w:ascii="Arial Narrow" w:hAnsi="Arial Narrow"/>
          <w:i w:val="1"/>
          <w:sz w:val="24"/>
        </w:rPr>
        <w:t>2021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 xml:space="preserve"> идет полным ходом</w:t>
      </w:r>
      <w:r>
        <w:rPr>
          <w:rFonts w:ascii="Arial Narrow" w:hAnsi="Arial Narrow"/>
          <w:i w:val="1"/>
          <w:sz w:val="24"/>
        </w:rPr>
        <w:t xml:space="preserve">. </w:t>
      </w:r>
      <w:r>
        <w:rPr>
          <w:rFonts w:ascii="Arial Narrow" w:hAnsi="Arial Narrow"/>
          <w:i w:val="1"/>
          <w:sz w:val="24"/>
        </w:rPr>
        <w:t xml:space="preserve">Уже пройдена </w:t>
      </w:r>
      <w:r>
        <w:rPr>
          <w:rFonts w:ascii="Arial Narrow" w:hAnsi="Arial Narrow"/>
          <w:i w:val="1"/>
          <w:sz w:val="24"/>
        </w:rPr>
        <w:t xml:space="preserve">третья часть </w:t>
      </w:r>
      <w:r>
        <w:rPr>
          <w:rFonts w:ascii="Arial Narrow" w:hAnsi="Arial Narrow"/>
          <w:i w:val="1"/>
          <w:sz w:val="24"/>
        </w:rPr>
        <w:t xml:space="preserve">из </w:t>
      </w:r>
      <w:r>
        <w:rPr>
          <w:rFonts w:ascii="Arial Narrow" w:hAnsi="Arial Narrow"/>
          <w:i w:val="1"/>
          <w:sz w:val="24"/>
        </w:rPr>
        <w:t>30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>отведенных для переписи</w:t>
      </w:r>
      <w:r>
        <w:rPr>
          <w:rFonts w:ascii="Arial Narrow" w:hAnsi="Arial Narrow"/>
          <w:i w:val="1"/>
          <w:sz w:val="24"/>
        </w:rPr>
        <w:t xml:space="preserve"> </w:t>
      </w:r>
      <w:r>
        <w:rPr>
          <w:rFonts w:ascii="Arial Narrow" w:hAnsi="Arial Narrow"/>
          <w:i w:val="1"/>
          <w:sz w:val="24"/>
        </w:rPr>
        <w:t>дней</w:t>
      </w:r>
      <w:r>
        <w:rPr>
          <w:rFonts w:ascii="Arial Narrow" w:hAnsi="Arial Narrow"/>
          <w:i w:val="1"/>
          <w:sz w:val="24"/>
        </w:rPr>
        <w:t>.</w:t>
      </w:r>
      <w:r>
        <w:rPr>
          <w:rFonts w:ascii="Arial Narrow" w:hAnsi="Arial Narrow"/>
          <w:i w:val="1"/>
          <w:sz w:val="24"/>
        </w:rPr>
        <w:t xml:space="preserve"> </w:t>
      </w:r>
    </w:p>
    <w:p w14:paraId="09000000">
      <w:pPr>
        <w:spacing w:after="120" w:before="120" w:line="360" w:lineRule="auto"/>
        <w:ind w:firstLine="709"/>
        <w:jc w:val="both"/>
        <w:rPr>
          <w:rFonts w:ascii="Arial Narrow" w:hAnsi="Arial Narrow"/>
          <w:i w:val="1"/>
          <w:sz w:val="24"/>
        </w:rPr>
      </w:pPr>
      <w:r>
        <w:rPr>
          <w:rFonts w:ascii="Arial Narrow" w:hAnsi="Arial Narrow"/>
          <w:i w:val="1"/>
          <w:sz w:val="24"/>
        </w:rPr>
        <w:t xml:space="preserve">1 </w:t>
      </w:r>
      <w:r>
        <w:rPr>
          <w:rFonts w:ascii="Arial Narrow" w:hAnsi="Arial Narrow"/>
          <w:i w:val="1"/>
          <w:sz w:val="24"/>
        </w:rPr>
        <w:t xml:space="preserve">августа </w:t>
      </w:r>
      <w:r>
        <w:rPr>
          <w:rFonts w:ascii="Arial Narrow" w:hAnsi="Arial Narrow"/>
          <w:i w:val="1"/>
          <w:sz w:val="24"/>
        </w:rPr>
        <w:t xml:space="preserve"> переписчики приступили к сбору информации на закрепленных за ними участках.</w:t>
      </w:r>
    </w:p>
    <w:p w14:paraId="0A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В общей сложности </w:t>
      </w:r>
      <w:r>
        <w:rPr>
          <w:rFonts w:ascii="Arial Narrow" w:hAnsi="Arial Narrow"/>
          <w:sz w:val="24"/>
        </w:rPr>
        <w:t>микро</w:t>
      </w:r>
      <w:r>
        <w:rPr>
          <w:rFonts w:ascii="Arial Narrow" w:hAnsi="Arial Narrow"/>
          <w:sz w:val="24"/>
        </w:rPr>
        <w:t xml:space="preserve">переписью </w:t>
      </w:r>
      <w:r>
        <w:rPr>
          <w:rFonts w:ascii="Arial Narrow" w:hAnsi="Arial Narrow"/>
          <w:sz w:val="24"/>
        </w:rPr>
        <w:t>на территории Чамзинского</w:t>
      </w:r>
      <w:r>
        <w:rPr>
          <w:rFonts w:ascii="Arial Narrow" w:hAnsi="Arial Narrow"/>
          <w:sz w:val="24"/>
        </w:rPr>
        <w:t xml:space="preserve"> муниципального района Республики Мордовия </w:t>
      </w:r>
      <w:r>
        <w:rPr>
          <w:rFonts w:ascii="Arial Narrow" w:hAnsi="Arial Narrow"/>
          <w:sz w:val="24"/>
        </w:rPr>
        <w:t>будет охвачено  11</w:t>
      </w:r>
      <w:r>
        <w:rPr>
          <w:rFonts w:ascii="Arial Narrow" w:hAnsi="Arial Narrow"/>
          <w:sz w:val="24"/>
        </w:rPr>
        <w:t xml:space="preserve"> сельскохозяйственных организаций и предприятий, 15 </w:t>
      </w:r>
      <w:r>
        <w:rPr>
          <w:rFonts w:ascii="Arial Narrow" w:hAnsi="Arial Narrow"/>
          <w:sz w:val="24"/>
        </w:rPr>
        <w:t>крестьянских (фермерских) хозяйств и  индивидуальных предпринимателей, 6008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личных подсобных хозяйств в сельских поселениях </w:t>
      </w:r>
      <w:r>
        <w:rPr>
          <w:rFonts w:ascii="Arial Narrow" w:hAnsi="Arial Narrow"/>
          <w:sz w:val="24"/>
        </w:rPr>
        <w:t>и 4</w:t>
      </w:r>
      <w:r>
        <w:rPr>
          <w:rFonts w:ascii="Arial Narrow" w:hAnsi="Arial Narrow"/>
          <w:sz w:val="24"/>
        </w:rPr>
        <w:t xml:space="preserve">  садоводческих</w:t>
      </w:r>
      <w:r>
        <w:rPr>
          <w:rFonts w:ascii="Arial Narrow" w:hAnsi="Arial Narrow"/>
          <w:sz w:val="24"/>
        </w:rPr>
        <w:t xml:space="preserve"> и</w:t>
      </w:r>
      <w:r>
        <w:rPr>
          <w:rFonts w:ascii="Arial Narrow" w:hAnsi="Arial Narrow"/>
          <w:sz w:val="24"/>
        </w:rPr>
        <w:t xml:space="preserve"> огороднических некоммерческих объединени</w:t>
      </w:r>
      <w:r>
        <w:rPr>
          <w:rFonts w:ascii="Arial Narrow" w:hAnsi="Arial Narrow"/>
          <w:sz w:val="24"/>
        </w:rPr>
        <w:t>я</w:t>
      </w:r>
      <w:r>
        <w:rPr>
          <w:rFonts w:ascii="Arial Narrow" w:hAnsi="Arial Narrow"/>
          <w:sz w:val="24"/>
        </w:rPr>
        <w:t xml:space="preserve"> граждан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i w:val="1"/>
          <w:sz w:val="24"/>
          <w:u w:val="single"/>
        </w:rPr>
        <w:t>(если в районе некоммерческие объединения не обследуются, то указывать не нужно)</w:t>
      </w:r>
      <w:r>
        <w:rPr>
          <w:rFonts w:ascii="Arial Narrow" w:hAnsi="Arial Narrow"/>
          <w:sz w:val="24"/>
        </w:rPr>
        <w:t>.</w:t>
      </w:r>
    </w:p>
    <w:p w14:paraId="0B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Сведения о ЛПХ</w:t>
      </w:r>
      <w:r>
        <w:rPr>
          <w:rFonts w:ascii="Arial Narrow" w:hAnsi="Arial Narrow"/>
          <w:sz w:val="24"/>
        </w:rPr>
        <w:t xml:space="preserve"> и некоммерческих организациях граждан Чамзинского</w:t>
      </w:r>
      <w:r>
        <w:rPr>
          <w:rFonts w:ascii="Arial Narrow" w:hAnsi="Arial Narrow"/>
          <w:sz w:val="24"/>
        </w:rPr>
        <w:t xml:space="preserve"> района </w:t>
      </w:r>
      <w:r>
        <w:rPr>
          <w:rFonts w:ascii="Arial Narrow" w:hAnsi="Arial Narrow"/>
          <w:sz w:val="24"/>
        </w:rPr>
        <w:t>собирают 12</w:t>
      </w:r>
      <w:r>
        <w:rPr>
          <w:rFonts w:ascii="Arial Narrow" w:hAnsi="Arial Narrow"/>
          <w:sz w:val="24"/>
        </w:rPr>
        <w:t xml:space="preserve"> переписчиков.</w:t>
      </w:r>
      <w:r>
        <w:t xml:space="preserve"> </w:t>
      </w:r>
      <w:r>
        <w:rPr>
          <w:rFonts w:ascii="Arial Narrow" w:hAnsi="Arial Narrow"/>
          <w:sz w:val="24"/>
        </w:rPr>
        <w:t xml:space="preserve">Их легко узнать по специальной экипировке: жилет и </w:t>
      </w:r>
      <w:r>
        <w:rPr>
          <w:rFonts w:ascii="Arial Narrow" w:hAnsi="Arial Narrow"/>
          <w:sz w:val="24"/>
        </w:rPr>
        <w:t>кепка ярко-</w:t>
      </w:r>
      <w:r>
        <w:rPr>
          <w:rFonts w:ascii="Arial Narrow" w:hAnsi="Arial Narrow"/>
          <w:sz w:val="24"/>
        </w:rPr>
        <w:t>зеленого цвета с эмблемой микропереписи. Каждый</w:t>
      </w:r>
      <w:r>
        <w:rPr>
          <w:rFonts w:ascii="Arial Narrow" w:hAnsi="Arial Narrow"/>
          <w:sz w:val="24"/>
        </w:rPr>
        <w:t xml:space="preserve"> переписчик</w:t>
      </w:r>
      <w:r>
        <w:rPr>
          <w:rFonts w:ascii="Arial Narrow" w:hAnsi="Arial Narrow"/>
          <w:sz w:val="24"/>
        </w:rPr>
        <w:t xml:space="preserve"> имеет удостоверение</w:t>
      </w:r>
      <w:r>
        <w:rPr>
          <w:rFonts w:ascii="Arial Narrow" w:hAnsi="Arial Narrow"/>
          <w:sz w:val="24"/>
        </w:rPr>
        <w:t>,</w:t>
      </w:r>
      <w:r>
        <w:rPr>
          <w:rFonts w:ascii="Arial Narrow" w:hAnsi="Arial Narrow"/>
          <w:sz w:val="24"/>
        </w:rPr>
        <w:t xml:space="preserve"> действительное при наличии паспорта</w:t>
      </w:r>
      <w:r>
        <w:rPr>
          <w:rFonts w:ascii="Arial Narrow" w:hAnsi="Arial Narrow"/>
          <w:sz w:val="24"/>
        </w:rPr>
        <w:t>, и планшет</w:t>
      </w:r>
      <w:r>
        <w:rPr>
          <w:rFonts w:ascii="Arial Narrow" w:hAnsi="Arial Narrow"/>
          <w:sz w:val="24"/>
        </w:rPr>
        <w:t>.</w:t>
      </w:r>
      <w:r>
        <w:t xml:space="preserve"> </w:t>
      </w:r>
      <w:r>
        <w:rPr>
          <w:rFonts w:ascii="Arial Narrow" w:hAnsi="Arial Narrow"/>
          <w:sz w:val="24"/>
        </w:rPr>
        <w:t>В рамках соблюдения мер по предотвращению распространения коронавирусной инфекции и безопасной работы с хозяйствами населения весь персонал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полевого уровня </w:t>
      </w:r>
      <w:r>
        <w:rPr>
          <w:rFonts w:ascii="Arial Narrow" w:hAnsi="Arial Narrow"/>
          <w:sz w:val="24"/>
        </w:rPr>
        <w:t xml:space="preserve">СХМП-2021 </w:t>
      </w:r>
      <w:r>
        <w:rPr>
          <w:rFonts w:ascii="Arial Narrow" w:hAnsi="Arial Narrow"/>
          <w:sz w:val="24"/>
        </w:rPr>
        <w:t>обеспечен средствами индивидуальной защиты.</w:t>
      </w:r>
    </w:p>
    <w:p w14:paraId="0C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П</w:t>
      </w:r>
      <w:r>
        <w:rPr>
          <w:rFonts w:ascii="Arial Narrow" w:hAnsi="Arial Narrow"/>
          <w:sz w:val="24"/>
        </w:rPr>
        <w:t xml:space="preserve">о данным оперативного мониторинга хода сельскохозяйственной </w:t>
      </w:r>
      <w:r>
        <w:rPr>
          <w:rFonts w:ascii="Arial Narrow" w:hAnsi="Arial Narrow"/>
          <w:sz w:val="24"/>
        </w:rPr>
        <w:t>микропереписи,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в</w:t>
      </w:r>
      <w:r>
        <w:rPr>
          <w:rFonts w:ascii="Arial Narrow" w:hAnsi="Arial Narrow"/>
          <w:sz w:val="24"/>
        </w:rPr>
        <w:t xml:space="preserve"> Чамзинском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районе </w:t>
      </w:r>
      <w:r>
        <w:rPr>
          <w:rFonts w:ascii="Arial Narrow" w:hAnsi="Arial Narrow"/>
          <w:sz w:val="24"/>
        </w:rPr>
        <w:t>за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10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дней</w:t>
      </w:r>
      <w:r>
        <w:rPr>
          <w:rFonts w:ascii="Arial Narrow" w:hAnsi="Arial Narrow"/>
          <w:sz w:val="24"/>
        </w:rPr>
        <w:t xml:space="preserve">: </w:t>
      </w:r>
    </w:p>
    <w:p w14:paraId="0D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- переписчики по</w:t>
      </w:r>
      <w:r>
        <w:rPr>
          <w:rFonts w:ascii="Arial Narrow" w:hAnsi="Arial Narrow"/>
          <w:sz w:val="24"/>
        </w:rPr>
        <w:t>сетили 41.8</w:t>
      </w:r>
      <w:r>
        <w:rPr>
          <w:rFonts w:ascii="Arial Narrow" w:hAnsi="Arial Narrow"/>
          <w:sz w:val="24"/>
        </w:rPr>
        <w:t xml:space="preserve">% </w:t>
      </w:r>
      <w:r>
        <w:rPr>
          <w:rFonts w:ascii="Arial Narrow" w:hAnsi="Arial Narrow"/>
          <w:sz w:val="24"/>
        </w:rPr>
        <w:t xml:space="preserve"> личных подсобных хозяйств граждан в сельских поселениях</w:t>
      </w:r>
      <w:r>
        <w:rPr>
          <w:rFonts w:ascii="Arial Narrow" w:hAnsi="Arial Narrow"/>
          <w:sz w:val="24"/>
        </w:rPr>
        <w:t>, опросив владельцев более2.5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тысяч хозяйств</w:t>
      </w:r>
      <w:r>
        <w:rPr>
          <w:rFonts w:ascii="Arial Narrow" w:hAnsi="Arial Narrow"/>
          <w:sz w:val="24"/>
        </w:rPr>
        <w:t xml:space="preserve">;  </w:t>
      </w:r>
    </w:p>
    <w:p w14:paraId="0E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- пока не получена информация по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садоводческим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 и </w:t>
      </w:r>
      <w:r>
        <w:rPr>
          <w:rFonts w:ascii="Arial Narrow" w:hAnsi="Arial Narrow"/>
          <w:sz w:val="24"/>
        </w:rPr>
        <w:t>огородническим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некоммерчески</w:t>
      </w:r>
      <w:r>
        <w:rPr>
          <w:rFonts w:ascii="Arial Narrow" w:hAnsi="Arial Narrow"/>
          <w:sz w:val="24"/>
        </w:rPr>
        <w:t>х</w:t>
      </w:r>
      <w:r>
        <w:rPr>
          <w:rFonts w:ascii="Arial Narrow" w:hAnsi="Arial Narrow"/>
          <w:sz w:val="24"/>
        </w:rPr>
        <w:t xml:space="preserve"> объединени</w:t>
      </w:r>
      <w:r>
        <w:rPr>
          <w:rFonts w:ascii="Arial Narrow" w:hAnsi="Arial Narrow"/>
          <w:sz w:val="24"/>
        </w:rPr>
        <w:t>й</w:t>
      </w:r>
      <w:r>
        <w:rPr>
          <w:rFonts w:ascii="Arial Narrow" w:hAnsi="Arial Narrow"/>
          <w:sz w:val="24"/>
        </w:rPr>
        <w:t xml:space="preserve"> граждан;</w:t>
      </w:r>
      <w:r>
        <w:rPr>
          <w:rFonts w:ascii="Arial Narrow" w:hAnsi="Arial Narrow"/>
          <w:sz w:val="24"/>
        </w:rPr>
        <w:t xml:space="preserve"> </w:t>
      </w:r>
    </w:p>
    <w:p w14:paraId="0F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С</w:t>
      </w:r>
      <w:r>
        <w:rPr>
          <w:rFonts w:ascii="Arial Narrow" w:hAnsi="Arial Narrow"/>
          <w:sz w:val="24"/>
        </w:rPr>
        <w:t xml:space="preserve">ельскохозяйственная </w:t>
      </w:r>
      <w:r>
        <w:rPr>
          <w:rFonts w:ascii="Arial Narrow" w:hAnsi="Arial Narrow"/>
          <w:sz w:val="24"/>
        </w:rPr>
        <w:t>микро</w:t>
      </w:r>
      <w:r>
        <w:rPr>
          <w:rFonts w:ascii="Arial Narrow" w:hAnsi="Arial Narrow"/>
          <w:sz w:val="24"/>
        </w:rPr>
        <w:t xml:space="preserve">перепись завершится </w:t>
      </w:r>
      <w:r>
        <w:rPr>
          <w:rFonts w:ascii="Arial Narrow" w:hAnsi="Arial Narrow"/>
          <w:sz w:val="24"/>
        </w:rPr>
        <w:t>30 августа 2021</w:t>
      </w:r>
      <w:r>
        <w:rPr>
          <w:rFonts w:ascii="Arial Narrow" w:hAnsi="Arial Narrow"/>
          <w:sz w:val="24"/>
        </w:rPr>
        <w:t xml:space="preserve"> года. </w:t>
      </w:r>
      <w:r>
        <w:rPr>
          <w:rFonts w:ascii="Arial Narrow" w:hAnsi="Arial Narrow"/>
          <w:sz w:val="24"/>
        </w:rPr>
        <w:t>Предварительные итоги переписи бу</w:t>
      </w:r>
      <w:r>
        <w:rPr>
          <w:rFonts w:ascii="Arial Narrow" w:hAnsi="Arial Narrow"/>
          <w:sz w:val="24"/>
        </w:rPr>
        <w:t>дут подведены в IV квартале 2021</w:t>
      </w:r>
      <w:r>
        <w:rPr>
          <w:rFonts w:ascii="Arial Narrow" w:hAnsi="Arial Narrow"/>
          <w:sz w:val="24"/>
        </w:rPr>
        <w:t xml:space="preserve"> года</w:t>
      </w:r>
      <w:r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>Все собранные сведения будут носить конфиденциальный характер, они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будут обезличены и опубликованы для заинтересованных пользователей только в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сводном</w:t>
      </w:r>
      <w:bookmarkStart w:id="1" w:name="_GoBack"/>
      <w:bookmarkEnd w:id="1"/>
      <w:r>
        <w:rPr>
          <w:rFonts w:ascii="Arial Narrow" w:hAnsi="Arial Narrow"/>
          <w:sz w:val="24"/>
        </w:rPr>
        <w:t xml:space="preserve"> виде.</w:t>
      </w:r>
    </w:p>
    <w:p w14:paraId="10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</w:p>
    <w:p w14:paraId="11000000">
      <w:pPr>
        <w:spacing w:after="120" w:before="120" w:line="360" w:lineRule="auto"/>
        <w:ind w:firstLine="709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11.08.2021 г. Внештатная служба СХМП по Чамзинскому району</w:t>
      </w:r>
    </w:p>
    <w:sectPr>
      <w:headerReference r:id="rId1" w:type="first"/>
      <w:footerReference r:id="rId2" w:type="first"/>
      <w:footerReference r:id="rId3" w:type="default"/>
      <w:pgSz w:h="16838" w:w="11906"/>
      <w:pgMar w:bottom="851" w:footer="709" w:gutter="0" w:header="709" w:left="1134" w:right="851" w:top="85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2"/>
      <w:ind/>
      <w:jc w:val="center"/>
    </w:pPr>
  </w:p>
</w:ftr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inline>
          <wp:extent cx="771277" cy="802502"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771277" cy="802502"/>
                  </a:xfrm>
                  <a:prstGeom prst="rect"/>
                </pic:spPr>
              </pic:pic>
            </a:graphicData>
          </a:graphic>
        </wp:inline>
      </w:drawing>
    </w:r>
    <w:r>
      <w:drawing>
        <wp:inline>
          <wp:extent cx="1693628" cy="858098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2" r:link=""/>
                  <a:srcRect b="0" l="38793" r="0" t="0"/>
                  <a:stretch/>
                </pic:blipFill>
                <pic:spPr>
                  <a:xfrm flipH="false" flipV="false" rot="0">
                    <a:ext cx="1693628" cy="858098"/>
                  </a:xfrm>
                  <a:prstGeom prst="rect"/>
                </pic:spPr>
              </pic:pic>
            </a:graphicData>
          </a:graphic>
        </wp:inline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annotation subject"/>
    <w:basedOn w:val="Style_10"/>
    <w:next w:val="Style_10"/>
    <w:link w:val="Style_9_ch"/>
    <w:rPr>
      <w:b w:val="1"/>
    </w:rPr>
  </w:style>
  <w:style w:styleId="Style_9_ch" w:type="character">
    <w:name w:val="annotation subject"/>
    <w:basedOn w:val="Style_10_ch"/>
    <w:link w:val="Style_9"/>
    <w:rPr>
      <w:b w:val="1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Body Text 2"/>
    <w:basedOn w:val="Style_3"/>
    <w:link w:val="Style_12_ch"/>
    <w:pPr>
      <w:spacing w:after="120" w:line="480" w:lineRule="auto"/>
      <w:ind/>
    </w:pPr>
    <w:rPr>
      <w:rFonts w:ascii="Times New Roman" w:hAnsi="Times New Roman"/>
      <w:sz w:val="24"/>
    </w:rPr>
  </w:style>
  <w:style w:styleId="Style_12_ch" w:type="character">
    <w:name w:val="Body Text 2"/>
    <w:basedOn w:val="Style_3_ch"/>
    <w:link w:val="Style_12"/>
    <w:rPr>
      <w:rFonts w:ascii="Times New Roman" w:hAnsi="Times New Roman"/>
      <w:sz w:val="24"/>
    </w:rPr>
  </w:style>
  <w:style w:styleId="Style_13" w:type="paragraph">
    <w:name w:val="annotation reference"/>
    <w:basedOn w:val="Style_14"/>
    <w:link w:val="Style_13_ch"/>
    <w:rPr>
      <w:sz w:val="16"/>
    </w:rPr>
  </w:style>
  <w:style w:styleId="Style_13_ch" w:type="character">
    <w:name w:val="annotation reference"/>
    <w:basedOn w:val="Style_14_ch"/>
    <w:link w:val="Style_13"/>
    <w:rPr>
      <w:sz w:val="16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basedOn w:val="Style_3"/>
    <w:next w:val="Style_3"/>
    <w:link w:val="Style_16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66091"/>
      <w:sz w:val="28"/>
    </w:rPr>
  </w:style>
  <w:style w:styleId="Style_16_ch" w:type="character">
    <w:name w:val="heading 1"/>
    <w:basedOn w:val="Style_3_ch"/>
    <w:link w:val="Style_16"/>
    <w:rPr>
      <w:rFonts w:asciiTheme="majorAscii" w:hAnsiTheme="majorHAnsi"/>
      <w:b w:val="1"/>
      <w:color w:themeColor="accent1" w:themeShade="BF" w:val="366091"/>
      <w:sz w:val="28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17" w:type="paragraph">
    <w:name w:val="Hyperlink"/>
    <w:basedOn w:val="Style_14"/>
    <w:link w:val="Style_17_ch"/>
    <w:rPr>
      <w:color w:val="065FBA"/>
      <w:u w:val="single"/>
    </w:rPr>
  </w:style>
  <w:style w:styleId="Style_17_ch" w:type="character">
    <w:name w:val="Hyperlink"/>
    <w:basedOn w:val="Style_14_ch"/>
    <w:link w:val="Style_17"/>
    <w:rPr>
      <w:color w:val="065FBA"/>
      <w:u w:val="single"/>
    </w:rPr>
  </w:style>
  <w:style w:styleId="Style_18" w:type="paragraph">
    <w:name w:val="Footnote"/>
    <w:link w:val="Style_18_ch"/>
    <w:pPr>
      <w:ind/>
      <w:jc w:val="left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3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10" w:type="paragraph">
    <w:name w:val="annotation text"/>
    <w:basedOn w:val="Style_3"/>
    <w:link w:val="Style_10_ch"/>
    <w:pPr>
      <w:spacing w:line="240" w:lineRule="auto"/>
      <w:ind/>
    </w:pPr>
    <w:rPr>
      <w:sz w:val="20"/>
    </w:rPr>
  </w:style>
  <w:style w:styleId="Style_10_ch" w:type="character">
    <w:name w:val="annotation text"/>
    <w:basedOn w:val="Style_3_ch"/>
    <w:link w:val="Style_10"/>
    <w:rPr>
      <w:sz w:val="20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1" w:type="paragraph">
    <w:name w:val="toc 9"/>
    <w:next w:val="Style_3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3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toc 5"/>
    <w:next w:val="Style_3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Balloon Text"/>
    <w:basedOn w:val="Style_3"/>
    <w:link w:val="Style_24_ch"/>
    <w:pPr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3_ch"/>
    <w:link w:val="Style_24"/>
    <w:rPr>
      <w:rFonts w:ascii="Tahoma" w:hAnsi="Tahoma"/>
      <w:sz w:val="16"/>
    </w:rPr>
  </w:style>
  <w:style w:styleId="Style_25" w:type="paragraph">
    <w:name w:val="Subtitle"/>
    <w:next w:val="Style_3"/>
    <w:link w:val="Style_25_ch"/>
    <w:uiPriority w:val="11"/>
    <w:qFormat/>
    <w:rPr>
      <w:rFonts w:ascii="XO Thames" w:hAnsi="XO Thames"/>
      <w:i w:val="1"/>
      <w:color w:val="616161"/>
      <w:sz w:val="24"/>
    </w:rPr>
  </w:style>
  <w:style w:styleId="Style_25_ch" w:type="character">
    <w:name w:val="Subtitle"/>
    <w:link w:val="Style_25"/>
    <w:rPr>
      <w:rFonts w:ascii="XO Thames" w:hAnsi="XO Thames"/>
      <w:i w:val="1"/>
      <w:color w:val="616161"/>
      <w:sz w:val="24"/>
    </w:rPr>
  </w:style>
  <w:style w:styleId="Style_26" w:type="paragraph">
    <w:name w:val="toc 10"/>
    <w:next w:val="Style_3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27" w:type="paragraph">
    <w:name w:val="Title"/>
    <w:next w:val="Style_3"/>
    <w:link w:val="Style_27_ch"/>
    <w:uiPriority w:val="10"/>
    <w:qFormat/>
    <w:rPr>
      <w:rFonts w:ascii="XO Thames" w:hAnsi="XO Thames"/>
      <w:b w:val="1"/>
      <w:sz w:val="52"/>
    </w:rPr>
  </w:style>
  <w:style w:styleId="Style_27_ch" w:type="character">
    <w:name w:val="Title"/>
    <w:link w:val="Style_27"/>
    <w:rPr>
      <w:rFonts w:ascii="XO Thames" w:hAnsi="XO Thames"/>
      <w:b w:val="1"/>
      <w:sz w:val="52"/>
    </w:rPr>
  </w:style>
  <w:style w:styleId="Style_28" w:type="paragraph">
    <w:name w:val="heading 4"/>
    <w:next w:val="Style_3"/>
    <w:link w:val="Style_28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8_ch" w:type="character">
    <w:name w:val="heading 4"/>
    <w:link w:val="Style_28"/>
    <w:rPr>
      <w:rFonts w:ascii="XO Thames" w:hAnsi="XO Thames"/>
      <w:b w:val="1"/>
      <w:color w:val="595959"/>
      <w:sz w:val="26"/>
    </w:rPr>
  </w:style>
  <w:style w:styleId="Style_29" w:type="paragraph">
    <w:name w:val="heading 2"/>
    <w:next w:val="Style_3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5" Target="settings.xml" Type="http://schemas.openxmlformats.org/officeDocument/2006/relationships/settings"/>
  <Relationship Id="rId4" Target="fontTable.xml" Type="http://schemas.openxmlformats.org/officeDocument/2006/relationships/fontTable"/>
  <Relationship Id="rId8" Target="webSettings.xml" Type="http://schemas.openxmlformats.org/officeDocument/2006/relationships/webSettings"/>
  <Relationship Id="rId2" Target="footer2.xml" Type="http://schemas.openxmlformats.org/officeDocument/2006/relationships/footer"/>
  <Relationship Id="rId3" Target="footer3.xml" Type="http://schemas.openxmlformats.org/officeDocument/2006/relationships/footer"/>
  <Relationship Id="rId1" Target="header1.xml" Type="http://schemas.openxmlformats.org/officeDocument/2006/relationships/header"/>
</Relationships>

</file>

<file path=word/_rels/header1.xml.rels><?xml version="1.0" encoding="UTF-8" standalone="no" ?>
<Relationships xmlns="http://schemas.openxmlformats.org/package/2006/relationships">
  <Relationship Id="rId2" Target="media/2.jpe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2021-08-12T04:28:34Z</dcterms:modified>
</cp:coreProperties>
</file>