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АДМИНИСТРАЦИИ АПРАКСИНСКОГО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СЕЛЬСКОГО ПОСЕЛЕНИЯ 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ЧАМЗИНСКОГО МУНИЦИПАЛЬНОГО РАЙОНА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РЕСПУБЛИКИ МОРДОВИЯ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ПОСТАНОВЛЕНИЕ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2659" w:rsidRDefault="006A2659" w:rsidP="006A265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             30.09.2020 </w:t>
      </w:r>
      <w:r>
        <w:rPr>
          <w:rFonts w:ascii="Times New Roman CYR" w:hAnsi="Times New Roman CYR" w:cs="Times New Roman CYR"/>
          <w:sz w:val="28"/>
          <w:szCs w:val="28"/>
        </w:rPr>
        <w:t>г.                                                                              №</w:t>
      </w:r>
      <w:r w:rsidR="006F7FB5">
        <w:rPr>
          <w:rFonts w:ascii="Times New Roman CYR" w:hAnsi="Times New Roman CYR" w:cs="Times New Roman CYR"/>
          <w:sz w:val="28"/>
          <w:szCs w:val="28"/>
        </w:rPr>
        <w:t>25.4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</w:t>
      </w:r>
    </w:p>
    <w:p w:rsidR="006A2659" w:rsidRDefault="006A2659" w:rsidP="006A26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</w:p>
    <w:p w:rsidR="006A2659" w:rsidRPr="006A2659" w:rsidRDefault="006A2659" w:rsidP="006A265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 внесении изменений в Муниципальную программу "Развитие автомобильных дорог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2020-2022 годы", утверждённую постановлением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</w:t>
      </w:r>
      <w:r w:rsidR="006F7FB5">
        <w:rPr>
          <w:rFonts w:ascii="Times New Roman CYR" w:hAnsi="Times New Roman CYR" w:cs="Times New Roman CYR"/>
          <w:sz w:val="28"/>
          <w:szCs w:val="28"/>
        </w:rPr>
        <w:t>еспублики Мордовия от 30.12.2016 №154 г.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Руководствуясь Федеральным законом от 06.10.2003 № 131-ФЗ </w:t>
      </w:r>
      <w:r w:rsidRPr="006A265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6A2659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Федеральным законом от 08.11.2007 № 257-ФЗ </w:t>
      </w:r>
      <w:r w:rsidRPr="006A265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Pr="006A2659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руководствуясь Уставом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в целях реализации полномочий, связанных с организацией дорожной деятельности в отношении автомобильных дорог местного значения, Администрация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11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ПОСТАНОВЛЯЕТ: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1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Продлить срок действия муниципальной программы "Развитие автомобильных дорог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2020-2022 годы" до 2025 года.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 xml:space="preserve">Изложить муниципальную программу "Развитие автомобильных дорог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2020-2025 годы" в новой редакции;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муниципальную программу "Развитие автомобильных дорог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2020-2025 годы";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вступает в силу с момента его подписания и подлежит опубликованию в газете </w:t>
      </w:r>
      <w:r w:rsidRPr="006A265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Вести</w:t>
      </w:r>
      <w:r w:rsidRPr="006A265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>
        <w:rPr>
          <w:rFonts w:ascii="Times New Roman CYR" w:hAnsi="Times New Roman CYR" w:cs="Times New Roman CYR"/>
          <w:sz w:val="28"/>
          <w:szCs w:val="28"/>
        </w:rPr>
        <w:t>Контроль за исполнением настоящего постановления оставляю за собой.</w:t>
      </w:r>
    </w:p>
    <w:p w:rsidR="006A2659" w:rsidRPr="006A2659" w:rsidRDefault="006A2659" w:rsidP="006A2659">
      <w:pPr>
        <w:autoSpaceDE w:val="0"/>
        <w:autoSpaceDN w:val="0"/>
        <w:adjustRightInd w:val="0"/>
        <w:spacing w:after="0"/>
        <w:ind w:firstLine="5670"/>
        <w:jc w:val="both"/>
        <w:rPr>
          <w:rFonts w:ascii="Times New Roman" w:hAnsi="Times New Roman" w:cs="Times New Roman"/>
          <w:sz w:val="28"/>
          <w:szCs w:val="28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6A2659" w:rsidRDefault="006A2659" w:rsidP="006A2659">
      <w:pPr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администрации</w:t>
      </w:r>
    </w:p>
    <w:p w:rsidR="006A2659" w:rsidRDefault="006A2659" w:rsidP="006A2659">
      <w:pPr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    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Кульчихина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Н.С.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Приложение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 постановлению администрации 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Апраксинского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="006F7FB5">
        <w:rPr>
          <w:rFonts w:ascii="Times New Roman CYR" w:hAnsi="Times New Roman CYR" w:cs="Times New Roman CYR"/>
          <w:sz w:val="24"/>
          <w:szCs w:val="24"/>
        </w:rPr>
        <w:t>30.09.</w:t>
      </w:r>
      <w:r>
        <w:rPr>
          <w:rFonts w:ascii="Times New Roman CYR" w:hAnsi="Times New Roman CYR" w:cs="Times New Roman CYR"/>
          <w:sz w:val="24"/>
          <w:szCs w:val="24"/>
        </w:rPr>
        <w:t>2020 г. №</w:t>
      </w:r>
      <w:r w:rsidR="006F7FB5">
        <w:rPr>
          <w:rFonts w:ascii="Times New Roman CYR" w:hAnsi="Times New Roman CYR" w:cs="Times New Roman CYR"/>
          <w:sz w:val="24"/>
          <w:szCs w:val="24"/>
        </w:rPr>
        <w:t>25.4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233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>
        <w:rPr>
          <w:rFonts w:ascii="Times New Roman CYR" w:hAnsi="Times New Roman CYR" w:cs="Times New Roman CYR"/>
          <w:b/>
          <w:bCs/>
          <w:sz w:val="48"/>
          <w:szCs w:val="48"/>
        </w:rPr>
        <w:t>Муниципальная программа</w:t>
      </w:r>
    </w:p>
    <w:p w:rsid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6A2659">
        <w:rPr>
          <w:rFonts w:ascii="Times New Roman" w:hAnsi="Times New Roman" w:cs="Times New Roman"/>
          <w:b/>
          <w:bCs/>
          <w:sz w:val="48"/>
          <w:szCs w:val="48"/>
        </w:rPr>
        <w:t>"</w:t>
      </w:r>
      <w:r>
        <w:rPr>
          <w:rFonts w:ascii="Times New Roman CYR" w:hAnsi="Times New Roman CYR" w:cs="Times New Roman CYR"/>
          <w:b/>
          <w:bCs/>
          <w:sz w:val="48"/>
          <w:szCs w:val="48"/>
        </w:rPr>
        <w:t xml:space="preserve">Развитие автомобильных дорог                                             в </w:t>
      </w:r>
      <w:proofErr w:type="spellStart"/>
      <w:r>
        <w:rPr>
          <w:rFonts w:ascii="Times New Roman CYR" w:hAnsi="Times New Roman CYR" w:cs="Times New Roman CYR"/>
          <w:b/>
          <w:bCs/>
          <w:sz w:val="48"/>
          <w:szCs w:val="48"/>
        </w:rPr>
        <w:t>Апраксинском</w:t>
      </w:r>
      <w:proofErr w:type="spellEnd"/>
      <w:r>
        <w:rPr>
          <w:rFonts w:ascii="Times New Roman CYR" w:hAnsi="Times New Roman CYR" w:cs="Times New Roman CYR"/>
          <w:b/>
          <w:bCs/>
          <w:sz w:val="48"/>
          <w:szCs w:val="48"/>
        </w:rPr>
        <w:t xml:space="preserve"> сельском поселении                       </w:t>
      </w:r>
      <w:proofErr w:type="spellStart"/>
      <w:r>
        <w:rPr>
          <w:rFonts w:ascii="Times New Roman CYR" w:hAnsi="Times New Roman CYR" w:cs="Times New Roman CYR"/>
          <w:b/>
          <w:bCs/>
          <w:sz w:val="48"/>
          <w:szCs w:val="48"/>
        </w:rPr>
        <w:t>Чамзинского</w:t>
      </w:r>
      <w:proofErr w:type="spellEnd"/>
      <w:r>
        <w:rPr>
          <w:rFonts w:ascii="Times New Roman CYR" w:hAnsi="Times New Roman CYR" w:cs="Times New Roman CYR"/>
          <w:b/>
          <w:bCs/>
          <w:sz w:val="48"/>
          <w:szCs w:val="48"/>
        </w:rPr>
        <w:t xml:space="preserve"> муниципального района                  Республики Мордовия                                                                  на 2020-2025 годы"</w:t>
      </w: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P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Паспорт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муниципальной программы </w:t>
      </w:r>
    </w:p>
    <w:p w:rsidR="006A2659" w:rsidRDefault="006A2659" w:rsidP="006A265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6A2659">
        <w:rPr>
          <w:rFonts w:ascii="Times New Roman" w:hAnsi="Times New Roman" w:cs="Times New Roman"/>
          <w:b/>
          <w:bCs/>
          <w:sz w:val="24"/>
          <w:szCs w:val="24"/>
        </w:rPr>
        <w:t>"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Развитие автомобильных дорог в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Апраксинском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сельском поселении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Чамзинского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муниципального района Республики Мордовия на 2020-2025 годы"</w:t>
      </w:r>
    </w:p>
    <w:tbl>
      <w:tblPr>
        <w:tblW w:w="0" w:type="auto"/>
        <w:jc w:val="center"/>
        <w:tblLayout w:type="fixed"/>
        <w:tblLook w:val="0000"/>
      </w:tblPr>
      <w:tblGrid>
        <w:gridCol w:w="1926"/>
        <w:gridCol w:w="7573"/>
      </w:tblGrid>
      <w:tr w:rsidR="006A2659" w:rsidRPr="006A2659">
        <w:trPr>
          <w:trHeight w:val="953"/>
          <w:jc w:val="center"/>
        </w:trPr>
        <w:tc>
          <w:tcPr>
            <w:tcW w:w="1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Развитие автомобильных дорог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Апраксинском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сельском поселении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 на 2020-2025 годы (далее – Программа)</w:t>
            </w:r>
          </w:p>
        </w:tc>
      </w:tr>
      <w:tr w:rsidR="006A2659" w:rsidRPr="006A2659">
        <w:trPr>
          <w:trHeight w:val="920"/>
          <w:jc w:val="center"/>
        </w:trPr>
        <w:tc>
          <w:tcPr>
            <w:tcW w:w="1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spacing w:before="108" w:after="108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Постановление Правительства Республики Мордовия от 4 октября 2013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г. N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6A26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453 "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Об утверждении Государственной программы Республики Мордовия "Развитие автомобильных дорог"</w:t>
            </w:r>
          </w:p>
        </w:tc>
      </w:tr>
      <w:tr w:rsidR="006A2659" w:rsidRPr="006A2659">
        <w:trPr>
          <w:trHeight w:val="570"/>
          <w:jc w:val="center"/>
        </w:trPr>
        <w:tc>
          <w:tcPr>
            <w:tcW w:w="1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Заказчик программы</w:t>
            </w:r>
          </w:p>
        </w:tc>
        <w:tc>
          <w:tcPr>
            <w:tcW w:w="7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</w:t>
            </w:r>
          </w:p>
        </w:tc>
      </w:tr>
      <w:tr w:rsidR="006A2659" w:rsidRPr="006A2659">
        <w:trPr>
          <w:trHeight w:val="597"/>
          <w:jc w:val="center"/>
        </w:trPr>
        <w:tc>
          <w:tcPr>
            <w:tcW w:w="1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Разработчик программы</w:t>
            </w:r>
          </w:p>
        </w:tc>
        <w:tc>
          <w:tcPr>
            <w:tcW w:w="7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</w:t>
            </w:r>
          </w:p>
        </w:tc>
      </w:tr>
      <w:tr w:rsidR="006A2659" w:rsidRPr="006A2659">
        <w:trPr>
          <w:trHeight w:val="881"/>
          <w:jc w:val="center"/>
        </w:trPr>
        <w:tc>
          <w:tcPr>
            <w:tcW w:w="1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Контроль за реализацией программы</w:t>
            </w:r>
          </w:p>
        </w:tc>
        <w:tc>
          <w:tcPr>
            <w:tcW w:w="7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Контроль за реализацией Программы осуществляет 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</w:t>
            </w:r>
          </w:p>
        </w:tc>
      </w:tr>
      <w:tr w:rsidR="006A2659" w:rsidRPr="006A2659">
        <w:trPr>
          <w:trHeight w:val="925"/>
          <w:jc w:val="center"/>
        </w:trPr>
        <w:tc>
          <w:tcPr>
            <w:tcW w:w="1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Цель программы</w:t>
            </w:r>
          </w:p>
        </w:tc>
        <w:tc>
          <w:tcPr>
            <w:tcW w:w="7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6A265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совершенствование и развитие сети автомобильных дорог, повышение их транспортно-эксплуатационных характеристик, обеспечение экономического роста и спроса на автотранспортные перевозки, увеличение эффективности использования природно-ресурсного потенциала и повышение уровня жизни населения</w:t>
            </w:r>
          </w:p>
        </w:tc>
      </w:tr>
      <w:tr w:rsidR="006A2659" w:rsidRPr="006A2659">
        <w:trPr>
          <w:trHeight w:val="1314"/>
          <w:jc w:val="center"/>
        </w:trPr>
        <w:tc>
          <w:tcPr>
            <w:tcW w:w="1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Задачи программы</w:t>
            </w:r>
          </w:p>
        </w:tc>
        <w:tc>
          <w:tcPr>
            <w:tcW w:w="7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A26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сохранение существующей сети автомобильных дорог общего пользования;</w:t>
            </w:r>
          </w:p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A265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увеличение доли нормативных объемов работ по содержанию и ремонту автодорог;</w:t>
            </w:r>
          </w:p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A265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приведение технических параметров дорог в соответствие с существующей и прогнозируемой интенсивностью движения с целью обеспечения безопасного пропуска автомобильного транспорта;</w:t>
            </w:r>
          </w:p>
          <w:p w:rsidR="006A2659" w:rsidRP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6A265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реконструкция и ремонт автомобильных дорог, связывающих сельские населенные пункты, создание сети автомобильных дорог с твердым покрытием в сельской местности, обеспечивающей связи населенных пунктов с опорной сетью автомобильных дорог</w:t>
            </w:r>
          </w:p>
        </w:tc>
      </w:tr>
      <w:tr w:rsidR="006A2659">
        <w:trPr>
          <w:trHeight w:val="538"/>
          <w:jc w:val="center"/>
        </w:trPr>
        <w:tc>
          <w:tcPr>
            <w:tcW w:w="1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2020 -2025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годы</w:t>
            </w:r>
          </w:p>
        </w:tc>
      </w:tr>
      <w:tr w:rsidR="006A2659" w:rsidRPr="006A2659">
        <w:trPr>
          <w:trHeight w:val="3122"/>
          <w:jc w:val="center"/>
        </w:trPr>
        <w:tc>
          <w:tcPr>
            <w:tcW w:w="1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Объемы и источники финансирования</w:t>
            </w:r>
          </w:p>
        </w:tc>
        <w:tc>
          <w:tcPr>
            <w:tcW w:w="7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Общий объем финансирования мероприятий программы в 2020-2025 годах составляет 1256,0 тыс. рублей.</w:t>
            </w:r>
          </w:p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Из них за счет средств муниципального дорожного фонда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1256,0 тыс. рублей, в том числе: </w:t>
            </w:r>
          </w:p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 2020 году – 264,0 тыс. рублей;</w:t>
            </w:r>
          </w:p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 2021 году – 172,6 тыс. рублей;</w:t>
            </w:r>
          </w:p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 2022 году – 185,5 тыс. рублей;</w:t>
            </w:r>
          </w:p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 2023 году – 198,4 тыс. рублей;</w:t>
            </w:r>
          </w:p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 2024 году – 211,3 тыс. рублей;</w:t>
            </w:r>
          </w:p>
          <w:p w:rsidR="006A2659" w:rsidRP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 2025 году – 224,2 тыс. рублей.</w:t>
            </w:r>
          </w:p>
        </w:tc>
      </w:tr>
      <w:tr w:rsidR="006A2659">
        <w:trPr>
          <w:trHeight w:val="85"/>
          <w:jc w:val="center"/>
        </w:trPr>
        <w:tc>
          <w:tcPr>
            <w:tcW w:w="1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программы</w:t>
            </w:r>
          </w:p>
        </w:tc>
        <w:tc>
          <w:tcPr>
            <w:tcW w:w="7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A2659">
              <w:rPr>
                <w:rFonts w:ascii="Calibri" w:hAnsi="Calibri" w:cs="Calibri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 автомобильных дорог общего пользования и инженерных сооружений на них;</w:t>
            </w:r>
          </w:p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A265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Ремонт автомобильных дорог общего пользования и инженерных сооружений на них;</w:t>
            </w:r>
          </w:p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A265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Капитальный ремонт автомобильных дорог общего пользования и инженерных сооружений на них;</w:t>
            </w:r>
          </w:p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Технический надзор</w:t>
            </w:r>
          </w:p>
        </w:tc>
      </w:tr>
      <w:tr w:rsidR="006A2659" w:rsidRPr="006A2659">
        <w:trPr>
          <w:trHeight w:val="85"/>
          <w:jc w:val="center"/>
        </w:trPr>
        <w:tc>
          <w:tcPr>
            <w:tcW w:w="1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Исполнители мероприятий программы</w:t>
            </w:r>
          </w:p>
        </w:tc>
        <w:tc>
          <w:tcPr>
            <w:tcW w:w="7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</w:t>
            </w:r>
          </w:p>
        </w:tc>
      </w:tr>
    </w:tbl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6A265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СОДЕРЖАНИЕ ПРОБЛЕМЫ И ОБОСНОВАНИЕ НЕОБХОДИМОСТИ РЕШЕНИЯ ЕЕ ПРОГРАММНЫМ МЕТОДОМ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5F5F5F"/>
          <w:sz w:val="24"/>
          <w:szCs w:val="24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Дорожное хозяйство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является одним из элементов транспортной инфраструктуры муниципального образования, который обеспечивает конституционные гарантии граждан на свободу передвижения и делает возможным свободное перемещение товаров и услуг. Наличием и состоянием сети автомобильных дорог определяется территориальная целостность и единство экономического пространства. Недооценка роли автомобильных дорог является одной из причин экономических трудностей и негативных социальных процессов.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Для обеспечения комплексного социально-экономического развития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целесообразно в 2020-2022 гг. завершить формирование сети автомобильных дорог сельского поселения путем сохранения существующей сети автодорог, ремонта мостов.</w:t>
      </w:r>
      <w:r>
        <w:rPr>
          <w:rFonts w:ascii="Times New Roman CYR" w:hAnsi="Times New Roman CYR" w:cs="Times New Roman CYR"/>
          <w:sz w:val="28"/>
          <w:szCs w:val="28"/>
        </w:rPr>
        <w:t xml:space="preserve"> Программа содержит характеристики и механизм реализации мероприятий по капитальному ремонту, ремонту и содержанию автомобильных дорог общего пользования местного значения и сооружений на них на период с 2020 по 2022 годы.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Разработка реализации Программы позволят комплексно подойти к развитию автомобильных дорог, искусственных сооружений и технических средств организации дорожного движения, обеспечить их согласованное развитие и функционирование, соответственно, более эффективное использование финансовых и материальных ресурсов. Процесс совершенствования автомобильных дорог окажет существенное влияние на социально-экономическое развитие муниципального образования.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Основные требования, предъявляемые к автомобильным дорогам – обеспечение удобства и безопасности движения транспорта и пешеходов.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 состоянию на 01.01.2020 года сеть автомобильных дорог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составляет 11,6 км. В настоящее время автомобильные дороги сельского поселения находятся в сложном положении. Качество дорожных покрытий большинства дорог не соответствует эксплуатационным требованиям.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Увеличение количества транспорта на дорогах сельского поселения в сочетании с недостатками эксплуатационного состояния автомобильных дорог, требует комплексного подхода и принятия неотложных мер по капитальному ремонту, ремонту и содержанию дорог местного значения, совершенствованию организации дорожного движения.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условиях существующего положения первоочередной задачей остается сохранение и развитие автомобильных дорог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поддержание их транспортного состояния, обеспечение безопасного, бесперебойного движения транспорта.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Реализация Программы позволит: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определить уровень содержания сельских дорог и перспективы их развития;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установить необходимые виды и объемы дорожных работ, источники и размеры их финансирования для выполнения взятых обязательств;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сформировать расходные обязательства по задачам, сконцентрировав финансовые ресурсы на реализации приоритетных задач.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6A265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ЦЕЛИ И ЗАДАЧИ ПРОГРАММЫ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Целью Программы является выполнение полномочий, связанных с организацией дорожной деятельности, сохранение и совершенствование сети автомобильных дорог местного значения.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Анализ состояния дорожного хозяйства и его влияние на социально экономическое развитие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позволяет определить основную цель и задачи муниципальной программы </w:t>
      </w:r>
      <w:r w:rsidRPr="006A265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 xml:space="preserve">Развитие автомобильных дорог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2020-2025 годы</w:t>
      </w:r>
      <w:r w:rsidRPr="006A2659"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 CYR" w:hAnsi="Times New Roman CYR" w:cs="Times New Roman CYR"/>
          <w:sz w:val="28"/>
          <w:szCs w:val="28"/>
        </w:rPr>
        <w:t>далее – Программа).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Достижение цели Программы будет осуществляться путем выполнения следующих задач: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повышение уровня содержания сети автомобильных дорог местного значения;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восстановление первоначальных транспортно-эксплуатационных характеристик и потребительских свойств автодорог и сооружений на них;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снижение доли автомобильных дорог муниципального образования, не соответствующих нормативным требованиям;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повышение эффективности расходов средств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на осуществление дорожной деятельности в отношение автомобильных дорог местного значения.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6A265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ОСНОВНЫЕ НАПРАВЛЕНИЯ РЕАЛИЗАЦИИ ПРОГРАММЫ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Программа включает в себя комплекс скоординированных мероприятий, необходимых для содержания и восстановления первоначальных транспортно-эксплуатационных характеристик и потребительских свойств автомобильных дорог и сооружений на них и развитие автомобильных дорог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Исходя из целей Программы, предусматриваются основные направления ее реализации: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своевременное и качественное проведение дорожных работ для повышения уровня безопасности дорожного движения;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развитие и совершенствование автомобильных дорог;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совершенствование системы организации дорожного движения.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Pr="006A265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МЕХАНИЗМ РЕАЛИЗАЦИИ И УПРАВЛЕНИЯ ПРОГРАММОЙ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Механизм реализации Программы включает в себя систему комплексных мероприятий.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Реализации Программы предусматривает целевое использование средств в соответствии с поставленными задачами.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Планы работ по ремонту (включая капитальный ремонт) и содержанию автомобильных дорог местного значения и сооружений на них составляются ежегодно на основании фактического состояния в пределах лимитов финансирования. 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ходе реализации Программы отдельные ее мероприятия в установленном порядке могут уточняться, а объем расходов бюджетов – корректироваться.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Основными вопросами, подлежащими контролю в процессе реализации Программы, являются: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эффективное и целевое использование средств бюджета;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соблюдение законодательства Российской Федерации при проведении торгов, заключении муниципальных контактов на выполнение работ по капитальному ремонту, ремонту и содержанию автомобильных дорог местного значения с подрядной организацией;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осуществление контроля за соблюдением требований строительных норм и правил, государственных стандартов и технических регламентов;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гарантийными обязательствами подрядных организаций по поддержанию требуемого состояния объектов.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6A265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РЕСУРСНОЕ ОБЕСПЕЧЕНИЕ РЕАЛИЗАЦИИ ПРОГРАММЫ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Финансирование Программы осуществляется за счет муниципального дорожного фонда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Всего на период 2020-2025 гг. 1256,0 тыс.рублей.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464" w:type="dxa"/>
        <w:tblLayout w:type="fixed"/>
        <w:tblLook w:val="0000"/>
      </w:tblPr>
      <w:tblGrid>
        <w:gridCol w:w="2756"/>
        <w:gridCol w:w="586"/>
        <w:gridCol w:w="542"/>
        <w:gridCol w:w="756"/>
        <w:gridCol w:w="542"/>
        <w:gridCol w:w="756"/>
        <w:gridCol w:w="542"/>
        <w:gridCol w:w="756"/>
        <w:gridCol w:w="542"/>
        <w:gridCol w:w="756"/>
        <w:gridCol w:w="542"/>
        <w:gridCol w:w="756"/>
        <w:gridCol w:w="548"/>
      </w:tblGrid>
      <w:tr w:rsidR="006A2659">
        <w:trPr>
          <w:trHeight w:val="1103"/>
        </w:trPr>
        <w:tc>
          <w:tcPr>
            <w:tcW w:w="2756" w:type="dxa"/>
            <w:vMerge w:val="restart"/>
            <w:tcBorders>
              <w:top w:val="single" w:sz="3" w:space="0" w:color="7030A0"/>
              <w:left w:val="single" w:sz="3" w:space="0" w:color="7030A0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Наименование и виды расходов</w:t>
            </w:r>
          </w:p>
        </w:tc>
        <w:tc>
          <w:tcPr>
            <w:tcW w:w="1128" w:type="dxa"/>
            <w:gridSpan w:val="2"/>
            <w:tcBorders>
              <w:top w:val="single" w:sz="3" w:space="0" w:color="7030A0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2020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98" w:type="dxa"/>
            <w:gridSpan w:val="2"/>
            <w:tcBorders>
              <w:top w:val="single" w:sz="3" w:space="0" w:color="7030A0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2021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98" w:type="dxa"/>
            <w:gridSpan w:val="2"/>
            <w:tcBorders>
              <w:top w:val="single" w:sz="3" w:space="0" w:color="7030A0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2022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98" w:type="dxa"/>
            <w:gridSpan w:val="2"/>
            <w:tcBorders>
              <w:top w:val="single" w:sz="3" w:space="0" w:color="7030A0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2023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98" w:type="dxa"/>
            <w:gridSpan w:val="2"/>
            <w:tcBorders>
              <w:top w:val="single" w:sz="3" w:space="0" w:color="7030A0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2024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304" w:type="dxa"/>
            <w:gridSpan w:val="2"/>
            <w:tcBorders>
              <w:top w:val="single" w:sz="3" w:space="0" w:color="7030A0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2025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год</w:t>
            </w:r>
          </w:p>
        </w:tc>
      </w:tr>
      <w:tr w:rsidR="006A2659">
        <w:trPr>
          <w:trHeight w:val="282"/>
        </w:trPr>
        <w:tc>
          <w:tcPr>
            <w:tcW w:w="2756" w:type="dxa"/>
            <w:vMerge/>
            <w:tcBorders>
              <w:top w:val="single" w:sz="3" w:space="0" w:color="7030A0"/>
              <w:left w:val="single" w:sz="3" w:space="0" w:color="7030A0"/>
              <w:bottom w:val="single" w:sz="3" w:space="0" w:color="7030A0"/>
              <w:right w:val="single" w:sz="3" w:space="0" w:color="7030A0"/>
            </w:tcBorders>
            <w:shd w:val="clear" w:color="000000" w:fill="FFFFFF"/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2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РБ</w:t>
            </w:r>
          </w:p>
        </w:tc>
        <w:tc>
          <w:tcPr>
            <w:tcW w:w="756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2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РБ</w:t>
            </w:r>
          </w:p>
        </w:tc>
        <w:tc>
          <w:tcPr>
            <w:tcW w:w="756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2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РБ</w:t>
            </w:r>
          </w:p>
        </w:tc>
        <w:tc>
          <w:tcPr>
            <w:tcW w:w="756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2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РБ</w:t>
            </w:r>
          </w:p>
        </w:tc>
        <w:tc>
          <w:tcPr>
            <w:tcW w:w="756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2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РБ</w:t>
            </w:r>
          </w:p>
        </w:tc>
        <w:tc>
          <w:tcPr>
            <w:tcW w:w="756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8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РБ</w:t>
            </w:r>
          </w:p>
        </w:tc>
      </w:tr>
      <w:tr w:rsidR="006A2659">
        <w:trPr>
          <w:trHeight w:val="1750"/>
        </w:trPr>
        <w:tc>
          <w:tcPr>
            <w:tcW w:w="2756" w:type="dxa"/>
            <w:tcBorders>
              <w:top w:val="nil"/>
              <w:left w:val="single" w:sz="3" w:space="0" w:color="7030A0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P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586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264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172,6</w:t>
            </w:r>
          </w:p>
        </w:tc>
        <w:tc>
          <w:tcPr>
            <w:tcW w:w="542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185,5</w:t>
            </w:r>
          </w:p>
        </w:tc>
        <w:tc>
          <w:tcPr>
            <w:tcW w:w="542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198,4</w:t>
            </w:r>
          </w:p>
        </w:tc>
        <w:tc>
          <w:tcPr>
            <w:tcW w:w="542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211,3</w:t>
            </w:r>
          </w:p>
        </w:tc>
        <w:tc>
          <w:tcPr>
            <w:tcW w:w="542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224,2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6A2659">
        <w:trPr>
          <w:trHeight w:val="282"/>
        </w:trPr>
        <w:tc>
          <w:tcPr>
            <w:tcW w:w="2756" w:type="dxa"/>
            <w:tcBorders>
              <w:top w:val="nil"/>
              <w:left w:val="single" w:sz="3" w:space="0" w:color="7030A0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28" w:type="dxa"/>
            <w:gridSpan w:val="2"/>
            <w:tcBorders>
              <w:top w:val="single" w:sz="3" w:space="0" w:color="7030A0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264</w:t>
            </w:r>
          </w:p>
        </w:tc>
        <w:tc>
          <w:tcPr>
            <w:tcW w:w="1298" w:type="dxa"/>
            <w:gridSpan w:val="2"/>
            <w:tcBorders>
              <w:top w:val="single" w:sz="3" w:space="0" w:color="7030A0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172,6</w:t>
            </w:r>
          </w:p>
        </w:tc>
        <w:tc>
          <w:tcPr>
            <w:tcW w:w="1298" w:type="dxa"/>
            <w:gridSpan w:val="2"/>
            <w:tcBorders>
              <w:top w:val="single" w:sz="3" w:space="0" w:color="7030A0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185,5</w:t>
            </w:r>
          </w:p>
        </w:tc>
        <w:tc>
          <w:tcPr>
            <w:tcW w:w="1298" w:type="dxa"/>
            <w:gridSpan w:val="2"/>
            <w:tcBorders>
              <w:top w:val="single" w:sz="3" w:space="0" w:color="7030A0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198,4</w:t>
            </w:r>
          </w:p>
        </w:tc>
        <w:tc>
          <w:tcPr>
            <w:tcW w:w="1298" w:type="dxa"/>
            <w:gridSpan w:val="2"/>
            <w:tcBorders>
              <w:top w:val="single" w:sz="3" w:space="0" w:color="7030A0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211,3</w:t>
            </w:r>
          </w:p>
        </w:tc>
        <w:tc>
          <w:tcPr>
            <w:tcW w:w="1304" w:type="dxa"/>
            <w:gridSpan w:val="2"/>
            <w:tcBorders>
              <w:top w:val="single" w:sz="3" w:space="0" w:color="7030A0"/>
              <w:left w:val="nil"/>
              <w:bottom w:val="single" w:sz="3" w:space="0" w:color="7030A0"/>
              <w:right w:val="single" w:sz="3" w:space="0" w:color="7030A0"/>
            </w:tcBorders>
            <w:vAlign w:val="center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224,2</w:t>
            </w:r>
          </w:p>
        </w:tc>
      </w:tr>
    </w:tbl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VI.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ОЦЕНКА СОЦИАЛЬНО - ЭКОНОМИЧЕСКОЙ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ЭФФЕКТИВНОСТИ ПРОГРАММЫ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соответствии с целью и задачами Программы основной эффект от реализации ее мероприятий имеет, прежде всего социальную направленность, стимулирующую активизацию экономической деятельности: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развитие и совершенствование автомобильных дорог, улучшение их технического состояния;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обеспечение безопасности дорожного движения.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 2020-2025 гг. планируется выполнить следующие показатели: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Увеличится: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протяженность участков автомобильных дорог внутри поселенческого значения, прошедших капитальный ремонт и ремонт на 11,6 км;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протяженность построенных пешеходных тротуаров на 0,5 км;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протяженность построенных барьерных ограждений на автомобильных дорогах на 0,5км;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протяженность построенных линий освещения вдоль автомобильных дорог на 2,2 км;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приведение в нормативное состояние не менее 6,0 тыс. кв.м. автомобильных дорог;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265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увеличение объемов финансовых вложений в развитие автомобильных дорог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в расчете на одного жителя ежегодно не менее 1%;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Оценка эффективности реализации Программы осуществляется по критерии финансовых вложений (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фв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) – отражает увеличение объемов финансовых вложений на содержание и ремонт автомобильных дорог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в расчете на одного жителя: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4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84"/>
        <w:gridCol w:w="425"/>
        <w:gridCol w:w="284"/>
        <w:gridCol w:w="425"/>
        <w:gridCol w:w="1701"/>
      </w:tblGrid>
      <w:tr w:rsidR="006A2659">
        <w:trPr>
          <w:trHeight w:val="699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К</w:t>
            </w:r>
            <w:r>
              <w:rPr>
                <w:rFonts w:ascii="Times New Roman CYR" w:hAnsi="Times New Roman CYR" w:cs="Times New Roman CYR"/>
                <w:sz w:val="28"/>
                <w:szCs w:val="28"/>
                <w:vertAlign w:val="subscript"/>
              </w:rPr>
              <w:t>фв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  <w:vertAlign w:val="subscript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= (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  <w:vertAlign w:val="subscript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u w:val="single"/>
              </w:rPr>
              <w:t>О</w:t>
            </w:r>
            <w:r>
              <w:rPr>
                <w:rFonts w:ascii="Times New Roman CYR" w:hAnsi="Times New Roman CYR" w:cs="Times New Roman CYR"/>
                <w:sz w:val="28"/>
                <w:szCs w:val="28"/>
                <w:vertAlign w:val="subscript"/>
              </w:rPr>
              <w:t>2</w:t>
            </w:r>
          </w:p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  <w:r>
              <w:rPr>
                <w:rFonts w:ascii="Times New Roman CYR" w:hAnsi="Times New Roman CYR" w:cs="Times New Roman CYR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  <w:vertAlign w:val="subscript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u w:val="single"/>
              </w:rPr>
              <w:t>О</w:t>
            </w:r>
            <w:r>
              <w:rPr>
                <w:rFonts w:ascii="Times New Roman CYR" w:hAnsi="Times New Roman CYR" w:cs="Times New Roman CYR"/>
                <w:sz w:val="28"/>
                <w:szCs w:val="28"/>
                <w:vertAlign w:val="subscript"/>
              </w:rPr>
              <w:t>1</w:t>
            </w:r>
          </w:p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Ч</w:t>
            </w:r>
            <w:r>
              <w:rPr>
                <w:rFonts w:ascii="Times New Roman CYR" w:hAnsi="Times New Roman CYR" w:cs="Times New Roman CYR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100%, где:</w:t>
            </w:r>
          </w:p>
        </w:tc>
      </w:tr>
    </w:tbl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en-US"/>
        </w:rPr>
      </w:pP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 xml:space="preserve"> – фактический объем финансовых вложений муниципального образования в развитие и содержание автомобильных дорог в предыдущем году;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 xml:space="preserve">2 </w:t>
      </w:r>
      <w:r>
        <w:rPr>
          <w:rFonts w:ascii="Times New Roman CYR" w:hAnsi="Times New Roman CYR" w:cs="Times New Roman CYR"/>
          <w:sz w:val="28"/>
          <w:szCs w:val="28"/>
        </w:rPr>
        <w:t>– фактический объем финансовых вложений муниципального образования в развитие и содержание автомобильных дорог в отчетном году;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 xml:space="preserve">1 </w:t>
      </w:r>
      <w:r>
        <w:rPr>
          <w:rFonts w:ascii="Times New Roman CYR" w:hAnsi="Times New Roman CYR" w:cs="Times New Roman CYR"/>
          <w:sz w:val="28"/>
          <w:szCs w:val="28"/>
        </w:rPr>
        <w:t>– численность жителей муниципального образования в предыдущем году;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</w:t>
      </w:r>
      <w:r>
        <w:rPr>
          <w:rFonts w:ascii="Times New Roman CYR" w:hAnsi="Times New Roman CYR" w:cs="Times New Roman CYR"/>
          <w:sz w:val="28"/>
          <w:szCs w:val="28"/>
          <w:vertAlign w:val="subscript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 xml:space="preserve"> – численность жителей муниципального образования в отчетном году;</w:t>
      </w:r>
    </w:p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 </w:t>
      </w:r>
      <w:proofErr w:type="spellStart"/>
      <w:r>
        <w:rPr>
          <w:rFonts w:ascii="Times New Roman CYR" w:hAnsi="Times New Roman CYR" w:cs="Times New Roman CYR"/>
          <w:sz w:val="28"/>
          <w:szCs w:val="28"/>
          <w:vertAlign w:val="subscript"/>
        </w:rPr>
        <w:t>бл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должен быть не менее 1%</w:t>
      </w:r>
    </w:p>
    <w:p w:rsidR="006A2659" w:rsidRPr="006A2659" w:rsidRDefault="006A2659" w:rsidP="006A26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2659" w:rsidRDefault="006A2659" w:rsidP="006A265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VII</w:t>
      </w:r>
      <w:r w:rsidRPr="006A265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ВЫПОЛНЕНИЕ ПРОГРАММНЫХ МЕРОПРИЯТИЙ ПО МУНИЦИПАЛЬНОЙ ПРОГРАММЕ</w:t>
      </w:r>
    </w:p>
    <w:p w:rsidR="006A2659" w:rsidRDefault="006A2659" w:rsidP="006A2659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Всего по Программе за 2020-2025 годы – 1256,0 тыс. рублей.</w:t>
      </w:r>
    </w:p>
    <w:p w:rsidR="006A2659" w:rsidRPr="006A2659" w:rsidRDefault="006A2659" w:rsidP="006A265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625" w:type="dxa"/>
        <w:tblInd w:w="-2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848"/>
        <w:gridCol w:w="2842"/>
        <w:gridCol w:w="896"/>
        <w:gridCol w:w="897"/>
        <w:gridCol w:w="896"/>
        <w:gridCol w:w="747"/>
        <w:gridCol w:w="747"/>
        <w:gridCol w:w="752"/>
      </w:tblGrid>
      <w:tr w:rsidR="006A2659" w:rsidTr="006A2659">
        <w:trPr>
          <w:trHeight w:val="673"/>
        </w:trPr>
        <w:tc>
          <w:tcPr>
            <w:tcW w:w="1848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Главный распорядитель бюджета</w:t>
            </w:r>
          </w:p>
        </w:tc>
        <w:tc>
          <w:tcPr>
            <w:tcW w:w="2842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Программные мероприятия</w:t>
            </w:r>
          </w:p>
        </w:tc>
        <w:tc>
          <w:tcPr>
            <w:tcW w:w="4935" w:type="dxa"/>
            <w:gridSpan w:val="6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Объем финансирования</w:t>
            </w:r>
          </w:p>
        </w:tc>
      </w:tr>
      <w:tr w:rsidR="006A2659" w:rsidTr="006A2659">
        <w:trPr>
          <w:trHeight w:val="565"/>
        </w:trPr>
        <w:tc>
          <w:tcPr>
            <w:tcW w:w="1848" w:type="dxa"/>
            <w:vMerge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42" w:type="dxa"/>
            <w:vMerge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89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</w:t>
            </w: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2024</w:t>
            </w:r>
          </w:p>
        </w:tc>
        <w:tc>
          <w:tcPr>
            <w:tcW w:w="752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</w:tr>
      <w:tr w:rsidR="006A2659" w:rsidTr="006A2659">
        <w:trPr>
          <w:trHeight w:val="1960"/>
        </w:trPr>
        <w:tc>
          <w:tcPr>
            <w:tcW w:w="1848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Апраксинского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842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264,0</w:t>
            </w:r>
          </w:p>
        </w:tc>
        <w:tc>
          <w:tcPr>
            <w:tcW w:w="89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172,6</w:t>
            </w: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185,5</w:t>
            </w: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198,4</w:t>
            </w: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211,3</w:t>
            </w:r>
          </w:p>
        </w:tc>
        <w:tc>
          <w:tcPr>
            <w:tcW w:w="752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224,2</w:t>
            </w:r>
          </w:p>
        </w:tc>
      </w:tr>
      <w:tr w:rsidR="006A2659" w:rsidTr="006A2659">
        <w:trPr>
          <w:trHeight w:val="1790"/>
        </w:trPr>
        <w:tc>
          <w:tcPr>
            <w:tcW w:w="1848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42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6A265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 автомобильных дорог общего пользования и инженерных сооружений на них</w:t>
            </w: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264,0</w:t>
            </w:r>
          </w:p>
        </w:tc>
        <w:tc>
          <w:tcPr>
            <w:tcW w:w="89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172,6</w:t>
            </w: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185,5</w:t>
            </w: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198,4</w:t>
            </w: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211,3</w:t>
            </w:r>
          </w:p>
        </w:tc>
        <w:tc>
          <w:tcPr>
            <w:tcW w:w="752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224,2</w:t>
            </w:r>
          </w:p>
          <w:p w:rsidR="006A2659" w:rsidRDefault="006A2659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6A2659" w:rsidRPr="006A2659" w:rsidTr="006A2659">
        <w:trPr>
          <w:trHeight w:val="1790"/>
        </w:trPr>
        <w:tc>
          <w:tcPr>
            <w:tcW w:w="1848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42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6A265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ремонт автомобильных дорог общего пользования и инженерных сооружений на них</w:t>
            </w: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89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52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</w:tr>
      <w:tr w:rsidR="006A2659" w:rsidRPr="006A2659" w:rsidTr="006A2659">
        <w:trPr>
          <w:trHeight w:val="1790"/>
        </w:trPr>
        <w:tc>
          <w:tcPr>
            <w:tcW w:w="1848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842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6A265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капитальный ремонт автомобильных дорог общего пользования и инженерных сооружений на них</w:t>
            </w: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89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52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</w:tr>
      <w:tr w:rsidR="006A2659" w:rsidTr="006A2659">
        <w:trPr>
          <w:trHeight w:val="489"/>
        </w:trPr>
        <w:tc>
          <w:tcPr>
            <w:tcW w:w="1848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P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842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технический надзор</w:t>
            </w: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9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6A2659" w:rsidTr="006A2659">
        <w:trPr>
          <w:trHeight w:val="527"/>
        </w:trPr>
        <w:tc>
          <w:tcPr>
            <w:tcW w:w="1848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42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</w:t>
            </w: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nil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264,0</w:t>
            </w:r>
          </w:p>
        </w:tc>
        <w:tc>
          <w:tcPr>
            <w:tcW w:w="89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172,6</w:t>
            </w:r>
          </w:p>
        </w:tc>
        <w:tc>
          <w:tcPr>
            <w:tcW w:w="896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185,5</w:t>
            </w: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198,4</w:t>
            </w:r>
          </w:p>
        </w:tc>
        <w:tc>
          <w:tcPr>
            <w:tcW w:w="747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211,3</w:t>
            </w:r>
          </w:p>
        </w:tc>
        <w:tc>
          <w:tcPr>
            <w:tcW w:w="752" w:type="dxa"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000000" w:fill="FFFFFF"/>
          </w:tcPr>
          <w:p w:rsidR="006A2659" w:rsidRDefault="006A26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224,2</w:t>
            </w:r>
          </w:p>
        </w:tc>
      </w:tr>
    </w:tbl>
    <w:p w:rsidR="006A2659" w:rsidRDefault="006A2659" w:rsidP="006A265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highlight w:val="white"/>
          <w:lang w:val="en-US"/>
        </w:rPr>
      </w:pPr>
    </w:p>
    <w:p w:rsidR="00C4033C" w:rsidRDefault="00C4033C"/>
    <w:sectPr w:rsidR="00C4033C" w:rsidSect="00434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compat>
    <w:useFELayout/>
  </w:compat>
  <w:rsids>
    <w:rsidRoot w:val="006A2659"/>
    <w:rsid w:val="004342E6"/>
    <w:rsid w:val="006A2659"/>
    <w:rsid w:val="006F7FB5"/>
    <w:rsid w:val="00C40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2136</Words>
  <Characters>12177</Characters>
  <Application>Microsoft Office Word</Application>
  <DocSecurity>0</DocSecurity>
  <Lines>101</Lines>
  <Paragraphs>28</Paragraphs>
  <ScaleCrop>false</ScaleCrop>
  <Company/>
  <LinksUpToDate>false</LinksUpToDate>
  <CharactersWithSpaces>14285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2020-11-24T06:54:00Z</dcterms:created>
  <dcterms:modified xsi:type="dcterms:W3CDTF">2020-11-24T06:58:00Z</dcterms:modified>
</cp:coreProperties>
</file>