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A9C" w:rsidRPr="00B12D0D" w:rsidRDefault="00B12D0D">
      <w:pPr>
        <w:rPr>
          <w:rFonts w:ascii="sans-serif" w:hAnsi="sans-serif"/>
          <w:sz w:val="28"/>
          <w:szCs w:val="28"/>
        </w:rPr>
      </w:pPr>
      <w:r w:rsidRPr="00B12D0D">
        <w:rPr>
          <w:rFonts w:ascii="sans-serif" w:hAnsi="sans-serif"/>
          <w:sz w:val="28"/>
          <w:szCs w:val="28"/>
        </w:rPr>
        <w:t xml:space="preserve">РИА Новости, 20.11.2020, 13:59, НПФ за 9 месяцев </w:t>
      </w:r>
      <w:r w:rsidRPr="00B12D0D">
        <w:rPr>
          <w:rFonts w:ascii="sans-serif" w:hAnsi="sans-serif"/>
          <w:sz w:val="28"/>
          <w:szCs w:val="28"/>
        </w:rPr>
        <w:t xml:space="preserve">показали доходность 4,8% по пенсионным накоплениям и </w:t>
      </w:r>
      <w:r w:rsidRPr="00B12D0D">
        <w:rPr>
          <w:rFonts w:ascii="sans-serif" w:hAnsi="sans-serif"/>
          <w:sz w:val="28"/>
          <w:szCs w:val="28"/>
        </w:rPr>
        <w:t>резервам - ЦБ РФ</w:t>
      </w:r>
    </w:p>
    <w:p w:rsidR="00B12D0D" w:rsidRDefault="00B12D0D">
      <w:pPr>
        <w:rPr>
          <w:rFonts w:ascii="sans-serif" w:hAnsi="sans-serif"/>
          <w:sz w:val="28"/>
          <w:szCs w:val="28"/>
          <w:lang w:val="en-US"/>
        </w:rPr>
      </w:pPr>
    </w:p>
    <w:p w:rsidR="00643A9C" w:rsidRPr="00B12D0D" w:rsidRDefault="00B12D0D">
      <w:pPr>
        <w:rPr>
          <w:rFonts w:ascii="sans-serif" w:hAnsi="sans-serif"/>
          <w:sz w:val="28"/>
          <w:szCs w:val="28"/>
        </w:rPr>
      </w:pPr>
      <w:r w:rsidRPr="00B12D0D">
        <w:rPr>
          <w:rFonts w:ascii="sans-serif" w:hAnsi="sans-serif"/>
          <w:sz w:val="28"/>
          <w:szCs w:val="28"/>
        </w:rPr>
        <w:t xml:space="preserve">Средневзвешенная доходность  </w:t>
      </w:r>
      <w:r w:rsidRPr="00B12D0D">
        <w:rPr>
          <w:rFonts w:ascii="sans-serif" w:hAnsi="sans-serif"/>
          <w:sz w:val="28"/>
          <w:szCs w:val="28"/>
        </w:rPr>
        <w:t xml:space="preserve">пенсионных </w:t>
      </w:r>
      <w:r w:rsidRPr="00B12D0D">
        <w:rPr>
          <w:rFonts w:ascii="sans-serif" w:hAnsi="sans-serif"/>
          <w:sz w:val="28"/>
          <w:szCs w:val="28"/>
        </w:rPr>
        <w:t xml:space="preserve">накоплений </w:t>
      </w:r>
      <w:r w:rsidRPr="00B12D0D">
        <w:rPr>
          <w:rFonts w:ascii="sans-serif" w:hAnsi="sans-serif"/>
          <w:sz w:val="28"/>
          <w:szCs w:val="28"/>
        </w:rPr>
        <w:t xml:space="preserve">и резервов </w:t>
      </w:r>
    </w:p>
    <w:p w:rsidR="00643A9C" w:rsidRPr="00B12D0D" w:rsidRDefault="00B12D0D">
      <w:pPr>
        <w:rPr>
          <w:rFonts w:ascii="sans-serif" w:hAnsi="sans-serif"/>
          <w:sz w:val="28"/>
          <w:szCs w:val="28"/>
        </w:rPr>
      </w:pPr>
      <w:r w:rsidRPr="00B12D0D">
        <w:rPr>
          <w:rFonts w:ascii="sans-serif" w:hAnsi="sans-serif"/>
          <w:sz w:val="28"/>
          <w:szCs w:val="28"/>
        </w:rPr>
        <w:t xml:space="preserve">негосударственных пенсионных фондов </w:t>
      </w:r>
      <w:r w:rsidRPr="00B12D0D">
        <w:rPr>
          <w:rFonts w:ascii="sans-serif" w:hAnsi="sans-serif"/>
          <w:sz w:val="28"/>
          <w:szCs w:val="28"/>
        </w:rPr>
        <w:t>(</w:t>
      </w:r>
      <w:r w:rsidRPr="00B12D0D">
        <w:rPr>
          <w:rFonts w:ascii="sans-serif" w:hAnsi="sans-serif"/>
          <w:sz w:val="28"/>
          <w:szCs w:val="28"/>
        </w:rPr>
        <w:t>НПФ</w:t>
      </w:r>
      <w:r w:rsidRPr="00B12D0D">
        <w:rPr>
          <w:rFonts w:ascii="sans-serif" w:hAnsi="sans-serif"/>
          <w:sz w:val="28"/>
          <w:szCs w:val="28"/>
        </w:rPr>
        <w:t xml:space="preserve">) по итогам </w:t>
      </w:r>
      <w:r w:rsidRPr="00B12D0D">
        <w:rPr>
          <w:rFonts w:ascii="sans-serif" w:hAnsi="sans-serif"/>
          <w:sz w:val="28"/>
          <w:szCs w:val="28"/>
        </w:rPr>
        <w:t>первых трёх кварталов года составила 4,8%, говорится в сообщении Банка России.</w:t>
      </w:r>
    </w:p>
    <w:p w:rsidR="00643A9C" w:rsidRPr="00B12D0D" w:rsidRDefault="00B12D0D">
      <w:pPr>
        <w:rPr>
          <w:rFonts w:ascii="sans-serif" w:hAnsi="sans-serif"/>
          <w:sz w:val="28"/>
          <w:szCs w:val="28"/>
        </w:rPr>
      </w:pPr>
      <w:r w:rsidRPr="00B12D0D">
        <w:rPr>
          <w:rFonts w:ascii="sans-serif" w:hAnsi="sans-serif"/>
          <w:sz w:val="28"/>
          <w:szCs w:val="28"/>
        </w:rPr>
        <w:t xml:space="preserve">В годовом выражении средневзвешенная доходность  </w:t>
      </w:r>
      <w:r w:rsidRPr="00B12D0D">
        <w:rPr>
          <w:rFonts w:ascii="sans-serif" w:hAnsi="sans-serif"/>
          <w:sz w:val="28"/>
          <w:szCs w:val="28"/>
        </w:rPr>
        <w:t xml:space="preserve">НПФ </w:t>
      </w:r>
      <w:r w:rsidRPr="00B12D0D">
        <w:rPr>
          <w:rFonts w:ascii="sans-serif" w:hAnsi="sans-serif"/>
          <w:sz w:val="28"/>
          <w:szCs w:val="28"/>
        </w:rPr>
        <w:t xml:space="preserve">за эти девять месяцев, до </w:t>
      </w:r>
      <w:r w:rsidRPr="00B12D0D">
        <w:rPr>
          <w:rFonts w:ascii="sans-serif" w:hAnsi="sans-serif"/>
          <w:sz w:val="28"/>
          <w:szCs w:val="28"/>
        </w:rPr>
        <w:t xml:space="preserve">выплаты вознаграждения управляющим компаниям, специализированному </w:t>
      </w:r>
      <w:r w:rsidRPr="00B12D0D">
        <w:rPr>
          <w:rFonts w:ascii="sans-serif" w:hAnsi="sans-serif"/>
          <w:sz w:val="28"/>
          <w:szCs w:val="28"/>
        </w:rPr>
        <w:t>депозитарию и</w:t>
      </w:r>
      <w:r w:rsidRPr="00B12D0D">
        <w:rPr>
          <w:rFonts w:ascii="sans-serif" w:hAnsi="sans-serif"/>
          <w:sz w:val="28"/>
          <w:szCs w:val="28"/>
        </w:rPr>
        <w:t xml:space="preserve"> фонду, по портфелям </w:t>
      </w:r>
    </w:p>
    <w:p w:rsidR="00643A9C" w:rsidRPr="00B12D0D" w:rsidRDefault="00B12D0D">
      <w:pPr>
        <w:rPr>
          <w:rFonts w:ascii="sans-serif" w:hAnsi="sans-serif"/>
          <w:sz w:val="28"/>
          <w:szCs w:val="28"/>
        </w:rPr>
      </w:pPr>
      <w:r w:rsidRPr="00B12D0D">
        <w:rPr>
          <w:rFonts w:ascii="sans-serif" w:hAnsi="sans-serif"/>
          <w:sz w:val="28"/>
          <w:szCs w:val="28"/>
        </w:rPr>
        <w:t xml:space="preserve">пенсионных накоплений </w:t>
      </w:r>
      <w:r w:rsidRPr="00B12D0D">
        <w:rPr>
          <w:rFonts w:ascii="sans-serif" w:hAnsi="sans-serif"/>
          <w:sz w:val="28"/>
          <w:szCs w:val="28"/>
        </w:rPr>
        <w:t xml:space="preserve">и резервов составила </w:t>
      </w:r>
      <w:r w:rsidRPr="00B12D0D">
        <w:rPr>
          <w:rFonts w:ascii="sans-serif" w:hAnsi="sans-serif"/>
          <w:sz w:val="28"/>
          <w:szCs w:val="28"/>
        </w:rPr>
        <w:t>6,4% годовых.</w:t>
      </w:r>
    </w:p>
    <w:p w:rsidR="00643A9C" w:rsidRPr="00B12D0D" w:rsidRDefault="00B12D0D">
      <w:pPr>
        <w:rPr>
          <w:rFonts w:ascii="sans-serif" w:hAnsi="sans-serif"/>
          <w:sz w:val="28"/>
          <w:szCs w:val="28"/>
        </w:rPr>
      </w:pPr>
      <w:r w:rsidRPr="00B12D0D">
        <w:rPr>
          <w:rFonts w:ascii="sans-serif" w:hAnsi="sans-serif"/>
          <w:sz w:val="28"/>
          <w:szCs w:val="28"/>
        </w:rPr>
        <w:t xml:space="preserve">Медианная доходность фондов за период составила 5,1%, как по </w:t>
      </w:r>
      <w:proofErr w:type="gramStart"/>
      <w:r w:rsidRPr="00B12D0D">
        <w:rPr>
          <w:rFonts w:ascii="sans-serif" w:hAnsi="sans-serif"/>
          <w:sz w:val="28"/>
          <w:szCs w:val="28"/>
        </w:rPr>
        <w:t>пенсионным</w:t>
      </w:r>
      <w:proofErr w:type="gramEnd"/>
    </w:p>
    <w:p w:rsidR="00643A9C" w:rsidRPr="00B12D0D" w:rsidRDefault="00B12D0D">
      <w:pPr>
        <w:rPr>
          <w:rFonts w:ascii="sans-serif" w:hAnsi="sans-serif"/>
          <w:sz w:val="28"/>
          <w:szCs w:val="28"/>
        </w:rPr>
      </w:pPr>
      <w:r w:rsidRPr="00B12D0D">
        <w:rPr>
          <w:rFonts w:ascii="sans-serif" w:hAnsi="sans-serif"/>
          <w:sz w:val="28"/>
          <w:szCs w:val="28"/>
        </w:rPr>
        <w:t>накоплениям</w:t>
      </w:r>
      <w:r w:rsidRPr="00B12D0D">
        <w:rPr>
          <w:rFonts w:ascii="sans-serif" w:hAnsi="sans-serif"/>
          <w:sz w:val="28"/>
          <w:szCs w:val="28"/>
        </w:rPr>
        <w:t xml:space="preserve">, так и по  </w:t>
      </w:r>
      <w:r w:rsidRPr="00B12D0D">
        <w:rPr>
          <w:rFonts w:ascii="sans-serif" w:hAnsi="sans-serif"/>
          <w:sz w:val="28"/>
          <w:szCs w:val="28"/>
        </w:rPr>
        <w:t>пенсионным резервам</w:t>
      </w:r>
      <w:r w:rsidRPr="00B12D0D">
        <w:rPr>
          <w:rFonts w:ascii="sans-serif" w:hAnsi="sans-serif"/>
          <w:sz w:val="28"/>
          <w:szCs w:val="28"/>
        </w:rPr>
        <w:t>.</w:t>
      </w:r>
    </w:p>
    <w:p w:rsidR="00643A9C" w:rsidRPr="00B12D0D" w:rsidRDefault="00B12D0D">
      <w:pPr>
        <w:rPr>
          <w:rFonts w:ascii="sans-serif" w:hAnsi="sans-serif"/>
          <w:sz w:val="28"/>
          <w:szCs w:val="28"/>
        </w:rPr>
      </w:pPr>
      <w:proofErr w:type="gramStart"/>
      <w:r w:rsidRPr="00B12D0D">
        <w:rPr>
          <w:rFonts w:ascii="sans-serif" w:hAnsi="sans-serif"/>
          <w:sz w:val="28"/>
          <w:szCs w:val="28"/>
        </w:rPr>
        <w:t>"</w:t>
      </w:r>
      <w:r w:rsidRPr="00B12D0D">
        <w:rPr>
          <w:rFonts w:ascii="sans-serif" w:hAnsi="sans-serif"/>
          <w:sz w:val="28"/>
          <w:szCs w:val="28"/>
        </w:rPr>
        <w:t xml:space="preserve">НПФ </w:t>
      </w:r>
      <w:r w:rsidRPr="00B12D0D">
        <w:rPr>
          <w:rFonts w:ascii="sans-serif" w:hAnsi="sans-serif"/>
          <w:sz w:val="28"/>
          <w:szCs w:val="28"/>
        </w:rPr>
        <w:t>в третьем квартале снова показали положительную дохо</w:t>
      </w:r>
      <w:r w:rsidRPr="00B12D0D">
        <w:rPr>
          <w:rFonts w:ascii="sans-serif" w:hAnsi="sans-serif"/>
          <w:sz w:val="28"/>
          <w:szCs w:val="28"/>
        </w:rPr>
        <w:t>дность (1,9% по</w:t>
      </w:r>
      <w:proofErr w:type="gramEnd"/>
    </w:p>
    <w:p w:rsidR="00643A9C" w:rsidRPr="00B12D0D" w:rsidRDefault="00B12D0D">
      <w:pPr>
        <w:rPr>
          <w:rFonts w:ascii="sans-serif" w:hAnsi="sans-serif"/>
          <w:sz w:val="28"/>
          <w:szCs w:val="28"/>
        </w:rPr>
      </w:pPr>
      <w:proofErr w:type="gramStart"/>
      <w:r w:rsidRPr="00B12D0D">
        <w:rPr>
          <w:rFonts w:ascii="sans-serif" w:hAnsi="sans-serif" w:hint="eastAsia"/>
          <w:sz w:val="28"/>
          <w:szCs w:val="28"/>
        </w:rPr>
        <w:t>П</w:t>
      </w:r>
      <w:r w:rsidRPr="00B12D0D">
        <w:rPr>
          <w:rFonts w:ascii="sans-serif" w:hAnsi="sans-serif"/>
          <w:sz w:val="28"/>
          <w:szCs w:val="28"/>
        </w:rPr>
        <w:t xml:space="preserve">енсионным </w:t>
      </w:r>
      <w:r w:rsidRPr="00B12D0D">
        <w:rPr>
          <w:rFonts w:ascii="sans-serif" w:hAnsi="sans-serif"/>
          <w:sz w:val="28"/>
          <w:szCs w:val="28"/>
        </w:rPr>
        <w:t xml:space="preserve">накоплениям </w:t>
      </w:r>
      <w:r w:rsidRPr="00B12D0D">
        <w:rPr>
          <w:rFonts w:ascii="sans-serif" w:hAnsi="sans-serif"/>
          <w:sz w:val="28"/>
          <w:szCs w:val="28"/>
        </w:rPr>
        <w:t xml:space="preserve">и 1,5% по  </w:t>
      </w:r>
      <w:r w:rsidRPr="00B12D0D">
        <w:rPr>
          <w:rFonts w:ascii="sans-serif" w:hAnsi="sans-serif"/>
          <w:sz w:val="28"/>
          <w:szCs w:val="28"/>
        </w:rPr>
        <w:t>пенсионным резервам</w:t>
      </w:r>
      <w:r w:rsidRPr="00B12D0D">
        <w:rPr>
          <w:rFonts w:ascii="sans-serif" w:hAnsi="sans-serif"/>
          <w:sz w:val="28"/>
          <w:szCs w:val="28"/>
        </w:rPr>
        <w:t xml:space="preserve">), хотя она и оказалась </w:t>
      </w:r>
      <w:r w:rsidRPr="00B12D0D">
        <w:rPr>
          <w:rFonts w:ascii="sans-serif" w:hAnsi="sans-serif"/>
          <w:sz w:val="28"/>
          <w:szCs w:val="28"/>
        </w:rPr>
        <w:t xml:space="preserve">ниже результатов второго квартала (3,2% по </w:t>
      </w:r>
      <w:r w:rsidRPr="00B12D0D">
        <w:rPr>
          <w:rFonts w:ascii="sans-serif" w:hAnsi="sans-serif"/>
          <w:sz w:val="28"/>
          <w:szCs w:val="28"/>
        </w:rPr>
        <w:t xml:space="preserve">пенсионным накоплениям </w:t>
      </w:r>
      <w:r w:rsidRPr="00B12D0D">
        <w:rPr>
          <w:rFonts w:ascii="sans-serif" w:hAnsi="sans-serif"/>
          <w:sz w:val="28"/>
          <w:szCs w:val="28"/>
        </w:rPr>
        <w:t xml:space="preserve">и 3,3% по </w:t>
      </w:r>
      <w:r w:rsidRPr="00B12D0D">
        <w:rPr>
          <w:rFonts w:ascii="sans-serif" w:hAnsi="sans-serif"/>
          <w:sz w:val="28"/>
          <w:szCs w:val="28"/>
        </w:rPr>
        <w:t>пенсионным резервам</w:t>
      </w:r>
      <w:r w:rsidRPr="00B12D0D">
        <w:rPr>
          <w:rFonts w:ascii="sans-serif" w:hAnsi="sans-serif"/>
          <w:sz w:val="28"/>
          <w:szCs w:val="28"/>
        </w:rPr>
        <w:t xml:space="preserve">), когда рынки восстанавливались на фоне роста экономической </w:t>
      </w:r>
      <w:r w:rsidRPr="00B12D0D">
        <w:rPr>
          <w:rFonts w:ascii="sans-serif" w:hAnsi="sans-serif"/>
          <w:sz w:val="28"/>
          <w:szCs w:val="28"/>
        </w:rPr>
        <w:t>активности.</w:t>
      </w:r>
      <w:proofErr w:type="gramEnd"/>
      <w:r w:rsidRPr="00B12D0D">
        <w:rPr>
          <w:rFonts w:ascii="sans-serif" w:hAnsi="sans-serif"/>
          <w:sz w:val="28"/>
          <w:szCs w:val="28"/>
        </w:rPr>
        <w:t xml:space="preserve"> По итогам третьего квартала 2020 года акции практически отыграли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B12D0D">
        <w:rPr>
          <w:rFonts w:ascii="sans-serif" w:hAnsi="sans-serif"/>
          <w:sz w:val="28"/>
          <w:szCs w:val="28"/>
        </w:rPr>
        <w:t xml:space="preserve">падение первого квартала, а основным драйвером роста портфелей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B12D0D">
        <w:rPr>
          <w:rFonts w:ascii="sans-serif" w:hAnsi="sans-serif"/>
          <w:sz w:val="28"/>
          <w:szCs w:val="28"/>
        </w:rPr>
        <w:t>НПФ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B12D0D">
        <w:rPr>
          <w:rFonts w:ascii="sans-serif" w:hAnsi="sans-serif"/>
          <w:sz w:val="28"/>
          <w:szCs w:val="28"/>
        </w:rPr>
        <w:t>выступали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B12D0D">
        <w:rPr>
          <w:rFonts w:ascii="sans-serif" w:hAnsi="sans-serif"/>
          <w:sz w:val="28"/>
          <w:szCs w:val="28"/>
        </w:rPr>
        <w:t>долговые ценные бумаги", - также говорится в сообщении.</w:t>
      </w:r>
    </w:p>
    <w:p w:rsidR="00643A9C" w:rsidRPr="00B12D0D" w:rsidRDefault="00643A9C">
      <w:pPr>
        <w:rPr>
          <w:rFonts w:ascii="sans-serif" w:hAnsi="sans-serif"/>
          <w:sz w:val="28"/>
          <w:szCs w:val="28"/>
        </w:rPr>
      </w:pPr>
    </w:p>
    <w:p w:rsidR="00643A9C" w:rsidRPr="00B12D0D" w:rsidRDefault="00643A9C">
      <w:pPr>
        <w:rPr>
          <w:sz w:val="28"/>
          <w:szCs w:val="28"/>
        </w:rPr>
      </w:pPr>
    </w:p>
    <w:p w:rsidR="00B12D0D" w:rsidRPr="00B12D0D" w:rsidRDefault="00B12D0D">
      <w:pPr>
        <w:rPr>
          <w:sz w:val="28"/>
          <w:szCs w:val="28"/>
        </w:rPr>
      </w:pPr>
    </w:p>
    <w:sectPr w:rsidR="00B12D0D" w:rsidRPr="00B12D0D" w:rsidSect="00643A9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9"/>
  <w:characterSpacingControl w:val="doNotCompress"/>
  <w:compat/>
  <w:rsids>
    <w:rsidRoot w:val="00643A9C"/>
    <w:rsid w:val="00643A9C"/>
    <w:rsid w:val="00B1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43A9C"/>
  </w:style>
  <w:style w:type="paragraph" w:styleId="10">
    <w:name w:val="heading 1"/>
    <w:next w:val="a"/>
    <w:link w:val="11"/>
    <w:uiPriority w:val="9"/>
    <w:qFormat/>
    <w:rsid w:val="00643A9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43A9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43A9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43A9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43A9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43A9C"/>
  </w:style>
  <w:style w:type="paragraph" w:styleId="21">
    <w:name w:val="toc 2"/>
    <w:next w:val="a"/>
    <w:link w:val="22"/>
    <w:uiPriority w:val="39"/>
    <w:rsid w:val="00643A9C"/>
    <w:pPr>
      <w:ind w:left="200"/>
    </w:pPr>
  </w:style>
  <w:style w:type="character" w:customStyle="1" w:styleId="22">
    <w:name w:val="Оглавление 2 Знак"/>
    <w:link w:val="21"/>
    <w:rsid w:val="00643A9C"/>
  </w:style>
  <w:style w:type="paragraph" w:styleId="41">
    <w:name w:val="toc 4"/>
    <w:next w:val="a"/>
    <w:link w:val="42"/>
    <w:uiPriority w:val="39"/>
    <w:rsid w:val="00643A9C"/>
    <w:pPr>
      <w:ind w:left="600"/>
    </w:pPr>
  </w:style>
  <w:style w:type="character" w:customStyle="1" w:styleId="42">
    <w:name w:val="Оглавление 4 Знак"/>
    <w:link w:val="41"/>
    <w:rsid w:val="00643A9C"/>
  </w:style>
  <w:style w:type="paragraph" w:styleId="6">
    <w:name w:val="toc 6"/>
    <w:next w:val="a"/>
    <w:link w:val="60"/>
    <w:uiPriority w:val="39"/>
    <w:rsid w:val="00643A9C"/>
    <w:pPr>
      <w:ind w:left="1000"/>
    </w:pPr>
  </w:style>
  <w:style w:type="character" w:customStyle="1" w:styleId="60">
    <w:name w:val="Оглавление 6 Знак"/>
    <w:link w:val="6"/>
    <w:rsid w:val="00643A9C"/>
  </w:style>
  <w:style w:type="paragraph" w:customStyle="1" w:styleId="Heading">
    <w:name w:val="Heading"/>
    <w:basedOn w:val="a"/>
    <w:next w:val="Textbody"/>
    <w:link w:val="Heading0"/>
    <w:rsid w:val="00643A9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43A9C"/>
    <w:rPr>
      <w:rFonts w:ascii="Liberation Sans" w:hAnsi="Liberation Sans"/>
      <w:sz w:val="28"/>
    </w:rPr>
  </w:style>
  <w:style w:type="paragraph" w:styleId="7">
    <w:name w:val="toc 7"/>
    <w:next w:val="a"/>
    <w:link w:val="70"/>
    <w:uiPriority w:val="39"/>
    <w:rsid w:val="00643A9C"/>
    <w:pPr>
      <w:ind w:left="1200"/>
    </w:pPr>
  </w:style>
  <w:style w:type="character" w:customStyle="1" w:styleId="70">
    <w:name w:val="Оглавление 7 Знак"/>
    <w:link w:val="7"/>
    <w:rsid w:val="00643A9C"/>
  </w:style>
  <w:style w:type="character" w:customStyle="1" w:styleId="30">
    <w:name w:val="Заголовок 3 Знак"/>
    <w:link w:val="3"/>
    <w:rsid w:val="00643A9C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643A9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43A9C"/>
    <w:rPr>
      <w:i/>
      <w:sz w:val="24"/>
    </w:rPr>
  </w:style>
  <w:style w:type="paragraph" w:styleId="31">
    <w:name w:val="toc 3"/>
    <w:next w:val="a"/>
    <w:link w:val="32"/>
    <w:uiPriority w:val="39"/>
    <w:rsid w:val="00643A9C"/>
    <w:pPr>
      <w:ind w:left="400"/>
    </w:pPr>
  </w:style>
  <w:style w:type="character" w:customStyle="1" w:styleId="32">
    <w:name w:val="Оглавление 3 Знак"/>
    <w:link w:val="31"/>
    <w:rsid w:val="00643A9C"/>
  </w:style>
  <w:style w:type="paragraph" w:styleId="a3">
    <w:name w:val="List"/>
    <w:basedOn w:val="Textbody"/>
    <w:link w:val="a4"/>
    <w:rsid w:val="00643A9C"/>
  </w:style>
  <w:style w:type="character" w:customStyle="1" w:styleId="a4">
    <w:name w:val="Список Знак"/>
    <w:basedOn w:val="Textbody0"/>
    <w:link w:val="a3"/>
    <w:rsid w:val="00643A9C"/>
  </w:style>
  <w:style w:type="character" w:customStyle="1" w:styleId="50">
    <w:name w:val="Заголовок 5 Знак"/>
    <w:link w:val="5"/>
    <w:rsid w:val="00643A9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43A9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643A9C"/>
    <w:rPr>
      <w:color w:val="0000FF"/>
      <w:u w:val="single"/>
    </w:rPr>
  </w:style>
  <w:style w:type="character" w:styleId="a5">
    <w:name w:val="Hyperlink"/>
    <w:link w:val="12"/>
    <w:rsid w:val="00643A9C"/>
    <w:rPr>
      <w:color w:val="0000FF"/>
      <w:u w:val="single"/>
    </w:rPr>
  </w:style>
  <w:style w:type="paragraph" w:customStyle="1" w:styleId="Footnote">
    <w:name w:val="Footnote"/>
    <w:link w:val="Footnote0"/>
    <w:rsid w:val="00643A9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43A9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43A9C"/>
    <w:rPr>
      <w:rFonts w:ascii="XO Thames" w:hAnsi="XO Thames"/>
      <w:b/>
    </w:rPr>
  </w:style>
  <w:style w:type="character" w:customStyle="1" w:styleId="14">
    <w:name w:val="Оглавление 1 Знак"/>
    <w:link w:val="13"/>
    <w:rsid w:val="00643A9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43A9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43A9C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643A9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43A9C"/>
  </w:style>
  <w:style w:type="paragraph" w:styleId="9">
    <w:name w:val="toc 9"/>
    <w:next w:val="a"/>
    <w:link w:val="90"/>
    <w:uiPriority w:val="39"/>
    <w:rsid w:val="00643A9C"/>
    <w:pPr>
      <w:ind w:left="1600"/>
    </w:pPr>
  </w:style>
  <w:style w:type="character" w:customStyle="1" w:styleId="90">
    <w:name w:val="Оглавление 9 Знак"/>
    <w:link w:val="9"/>
    <w:rsid w:val="00643A9C"/>
  </w:style>
  <w:style w:type="paragraph" w:styleId="8">
    <w:name w:val="toc 8"/>
    <w:next w:val="a"/>
    <w:link w:val="80"/>
    <w:uiPriority w:val="39"/>
    <w:rsid w:val="00643A9C"/>
    <w:pPr>
      <w:ind w:left="1400"/>
    </w:pPr>
  </w:style>
  <w:style w:type="character" w:customStyle="1" w:styleId="80">
    <w:name w:val="Оглавление 8 Знак"/>
    <w:link w:val="8"/>
    <w:rsid w:val="00643A9C"/>
  </w:style>
  <w:style w:type="paragraph" w:customStyle="1" w:styleId="Index">
    <w:name w:val="Index"/>
    <w:basedOn w:val="a"/>
    <w:link w:val="Index0"/>
    <w:rsid w:val="00643A9C"/>
  </w:style>
  <w:style w:type="character" w:customStyle="1" w:styleId="Index0">
    <w:name w:val="Index"/>
    <w:basedOn w:val="1"/>
    <w:link w:val="Index"/>
    <w:rsid w:val="00643A9C"/>
  </w:style>
  <w:style w:type="paragraph" w:styleId="51">
    <w:name w:val="toc 5"/>
    <w:next w:val="a"/>
    <w:link w:val="52"/>
    <w:uiPriority w:val="39"/>
    <w:rsid w:val="00643A9C"/>
    <w:pPr>
      <w:ind w:left="800"/>
    </w:pPr>
  </w:style>
  <w:style w:type="character" w:customStyle="1" w:styleId="52">
    <w:name w:val="Оглавление 5 Знак"/>
    <w:link w:val="51"/>
    <w:rsid w:val="00643A9C"/>
  </w:style>
  <w:style w:type="paragraph" w:styleId="a6">
    <w:name w:val="Subtitle"/>
    <w:next w:val="a"/>
    <w:link w:val="a7"/>
    <w:uiPriority w:val="11"/>
    <w:qFormat/>
    <w:rsid w:val="00643A9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43A9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43A9C"/>
    <w:pPr>
      <w:ind w:left="1800"/>
    </w:pPr>
  </w:style>
  <w:style w:type="character" w:customStyle="1" w:styleId="toc100">
    <w:name w:val="toc 10"/>
    <w:link w:val="toc10"/>
    <w:rsid w:val="00643A9C"/>
  </w:style>
  <w:style w:type="paragraph" w:styleId="a8">
    <w:name w:val="Title"/>
    <w:next w:val="a"/>
    <w:link w:val="a9"/>
    <w:uiPriority w:val="10"/>
    <w:qFormat/>
    <w:rsid w:val="00643A9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43A9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43A9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43A9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2020-11-27T05:50:00Z</dcterms:created>
  <dcterms:modified xsi:type="dcterms:W3CDTF">2020-11-27T05:51:00Z</dcterms:modified>
</cp:coreProperties>
</file>