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ind/>
        <w:jc w:val="center"/>
        <w:rPr>
          <w:b w:val="1"/>
          <w:sz w:val="28"/>
        </w:rPr>
      </w:pPr>
      <w:r>
        <w:rPr>
          <w:b w:val="1"/>
          <w:sz w:val="28"/>
        </w:rPr>
        <w:t>Не забудьте сделать взнос по Программе государственного софинансирования пенсий</w:t>
      </w:r>
    </w:p>
    <w:p w14:paraId="02000000">
      <w:pPr>
        <w:pStyle w:val="Style_2"/>
        <w:spacing w:after="102" w:before="102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Управление Пенсионного фонда напоминает </w:t>
      </w:r>
      <w:r>
        <w:rPr>
          <w:rFonts w:ascii="Times New Roman" w:hAnsi="Times New Roman"/>
          <w:color w:val="000000"/>
          <w:sz w:val="28"/>
        </w:rPr>
        <w:t>участникам</w:t>
      </w:r>
      <w:r>
        <w:rPr>
          <w:rFonts w:ascii="Times New Roman" w:hAnsi="Times New Roman"/>
          <w:color w:val="000000"/>
          <w:sz w:val="28"/>
        </w:rPr>
        <w:t xml:space="preserve">  Программы государственного софинансирования пенсий </w:t>
      </w:r>
      <w:r>
        <w:rPr>
          <w:rFonts w:ascii="Times New Roman" w:hAnsi="Times New Roman"/>
          <w:color w:val="000000"/>
          <w:sz w:val="28"/>
        </w:rPr>
        <w:t xml:space="preserve">о </w:t>
      </w:r>
      <w:r>
        <w:rPr>
          <w:rFonts w:ascii="Times New Roman" w:hAnsi="Times New Roman"/>
          <w:color w:val="000000"/>
          <w:sz w:val="28"/>
        </w:rPr>
        <w:t>необходимо</w:t>
      </w:r>
      <w:r>
        <w:rPr>
          <w:rFonts w:ascii="Times New Roman" w:hAnsi="Times New Roman"/>
          <w:color w:val="000000"/>
          <w:sz w:val="28"/>
        </w:rPr>
        <w:t>сти</w:t>
      </w:r>
      <w:r>
        <w:rPr>
          <w:rFonts w:ascii="Times New Roman" w:hAnsi="Times New Roman"/>
          <w:color w:val="000000"/>
          <w:sz w:val="28"/>
        </w:rPr>
        <w:t xml:space="preserve"> сделать взнос денежных средств не позднее 2</w:t>
      </w:r>
      <w:r>
        <w:rPr>
          <w:rFonts w:ascii="Times New Roman" w:hAnsi="Times New Roman"/>
          <w:color w:val="000000"/>
          <w:sz w:val="28"/>
        </w:rPr>
        <w:t xml:space="preserve">5 </w:t>
      </w:r>
      <w:r>
        <w:rPr>
          <w:rFonts w:ascii="Times New Roman" w:hAnsi="Times New Roman"/>
          <w:color w:val="000000"/>
          <w:sz w:val="28"/>
        </w:rPr>
        <w:t>декабря 20</w:t>
      </w:r>
      <w:r>
        <w:rPr>
          <w:rFonts w:ascii="Times New Roman" w:hAnsi="Times New Roman"/>
          <w:color w:val="000000"/>
          <w:sz w:val="28"/>
        </w:rPr>
        <w:t>20</w:t>
      </w:r>
      <w:r>
        <w:rPr>
          <w:rFonts w:ascii="Times New Roman" w:hAnsi="Times New Roman"/>
          <w:color w:val="000000"/>
          <w:sz w:val="28"/>
        </w:rPr>
        <w:t xml:space="preserve"> года.</w:t>
      </w:r>
    </w:p>
    <w:p w14:paraId="03000000">
      <w:pPr>
        <w:pStyle w:val="Style_2"/>
        <w:spacing w:after="102" w:before="102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За год гражданин должен заплатить не менее 2 тысяч рублей. Только в этом случае государство обеспечит софинансирование взносов на будущую накопительную пенсию в двукратном размере.</w:t>
      </w:r>
    </w:p>
    <w:p w14:paraId="04000000">
      <w:pPr>
        <w:pStyle w:val="Style_2"/>
        <w:spacing w:after="102" w:before="102" w:line="240" w:lineRule="auto"/>
        <w:ind/>
        <w:jc w:val="both"/>
      </w:pPr>
      <w:r>
        <w:rPr>
          <w:rFonts w:ascii="Times New Roman" w:hAnsi="Times New Roman"/>
          <w:color w:val="000000"/>
          <w:sz w:val="28"/>
        </w:rPr>
        <w:t>Уплатить дополнительные страховые взносы можно самостоятельно через Сбербанк или в любом другом кредитном учреждении, заполнив квитанцию. Кстати, квитанцию со всеми необходимыми реквизитами можно сформировать самостоятельно на сайте ПФР в разделе «Электронные сервисы» (</w:t>
      </w:r>
      <w:r>
        <w:rPr>
          <w:rFonts w:ascii="Times New Roman" w:hAnsi="Times New Roman"/>
          <w:color w:val="0000FF"/>
          <w:sz w:val="28"/>
          <w:u w:color="0000FF" w:val="single"/>
        </w:rPr>
        <w:fldChar w:fldCharType="begin"/>
      </w:r>
      <w:r>
        <w:rPr>
          <w:rFonts w:ascii="Times New Roman" w:hAnsi="Times New Roman"/>
          <w:color w:val="0000FF"/>
          <w:sz w:val="28"/>
          <w:u w:color="0000FF" w:val="single"/>
        </w:rPr>
        <w:instrText>HYPERLINK "https://www.pfrf.ru/eservices/pay_docs/"</w:instrText>
      </w:r>
      <w:r>
        <w:rPr>
          <w:rFonts w:ascii="Times New Roman" w:hAnsi="Times New Roman"/>
          <w:color w:val="0000FF"/>
          <w:sz w:val="28"/>
          <w:u w:color="0000FF" w:val="single"/>
        </w:rPr>
        <w:fldChar w:fldCharType="separate"/>
      </w:r>
      <w:r>
        <w:rPr>
          <w:rFonts w:ascii="Times New Roman" w:hAnsi="Times New Roman"/>
          <w:color w:val="0000FF"/>
          <w:sz w:val="28"/>
          <w:u w:color="0000FF" w:val="single"/>
        </w:rPr>
        <w:t>https://www.pfrf.ru/eservices/pay_docs/</w:t>
      </w:r>
      <w:r>
        <w:rPr>
          <w:rFonts w:ascii="Times New Roman" w:hAnsi="Times New Roman"/>
          <w:color w:val="0000FF"/>
          <w:sz w:val="28"/>
          <w:u w:color="0000FF" w:val="single"/>
        </w:rPr>
        <w:fldChar w:fldCharType="end"/>
      </w:r>
      <w:r>
        <w:rPr>
          <w:rFonts w:ascii="Times New Roman" w:hAnsi="Times New Roman"/>
          <w:color w:val="000000"/>
          <w:sz w:val="28"/>
        </w:rPr>
        <w:t>). За получением квитанции об уплате можно обратиться в управление ПФР. Кроме того, если Вы - работающий  гражданин, то взнос по Программе можно сделать через работодателя.</w:t>
      </w:r>
    </w:p>
    <w:p w14:paraId="05000000">
      <w:pPr>
        <w:pStyle w:val="Style_2"/>
        <w:spacing w:after="102" w:before="102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Напоминаем о том, что Программа государственного софинансирования пенсий стартовала в 2009 году. Она рассчитана на 10 лет </w:t>
      </w:r>
      <w:r>
        <w:rPr>
          <w:rFonts w:ascii="Times New Roman" w:hAnsi="Times New Roman"/>
          <w:color w:val="000000"/>
          <w:sz w:val="28"/>
        </w:rPr>
        <w:t>с даты уплаты первого взноса</w:t>
      </w:r>
      <w:r>
        <w:rPr>
          <w:rFonts w:ascii="Times New Roman" w:hAnsi="Times New Roman"/>
          <w:color w:val="000000"/>
          <w:sz w:val="28"/>
        </w:rPr>
        <w:t>. Поэтому для граждан, начавших уплачивать страховые взносы с 201</w:t>
      </w: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 xml:space="preserve"> года, 20</w:t>
      </w:r>
      <w:r>
        <w:rPr>
          <w:rFonts w:ascii="Times New Roman" w:hAnsi="Times New Roman"/>
          <w:color w:val="000000"/>
          <w:sz w:val="28"/>
        </w:rPr>
        <w:t>20</w:t>
      </w:r>
      <w:r>
        <w:rPr>
          <w:rFonts w:ascii="Times New Roman" w:hAnsi="Times New Roman"/>
          <w:color w:val="000000"/>
          <w:sz w:val="28"/>
        </w:rPr>
        <w:t xml:space="preserve"> станет последним годом уплаты дополнительных взносов, дающим право на софинансирование государства. Платить можно и по истечении десяти лет, но в этом случае уже без участия государства. Инвестиционный доход при этом будет начисляться на всю сумму сформированных пенсионных накоплений.</w:t>
      </w:r>
    </w:p>
    <w:p w14:paraId="06000000">
      <w:pPr>
        <w:pStyle w:val="Style_2"/>
        <w:spacing w:after="102" w:before="102" w:line="240" w:lineRule="auto"/>
        <w:ind/>
        <w:jc w:val="both"/>
        <w:rPr>
          <w:rFonts w:ascii="Times New Roman" w:hAnsi="Times New Roman"/>
          <w:color w:val="000000"/>
          <w:sz w:val="28"/>
        </w:rPr>
      </w:pPr>
    </w:p>
    <w:p w14:paraId="07000000">
      <w:pPr>
        <w:pStyle w:val="Style_1"/>
        <w:ind/>
        <w:jc w:val="right"/>
        <w:rPr>
          <w:sz w:val="28"/>
        </w:rPr>
      </w:pPr>
      <w:r>
        <w:rPr>
          <w:sz w:val="28"/>
        </w:rPr>
        <w:t xml:space="preserve">УПФР в Чамзинском муниципальном </w:t>
      </w:r>
    </w:p>
    <w:p w14:paraId="08000000">
      <w:pPr>
        <w:pStyle w:val="Style_1"/>
        <w:ind/>
        <w:jc w:val="right"/>
        <w:rPr>
          <w:sz w:val="28"/>
        </w:rPr>
      </w:pPr>
      <w:r>
        <w:rPr>
          <w:sz w:val="28"/>
        </w:rPr>
        <w:t>районе РМ (межрайонное)</w:t>
      </w:r>
    </w:p>
    <w:sectPr>
      <w:pgSz w:h="16838" w:w="11906"/>
      <w:pgMar w:bottom="1134" w:left="1701" w:right="850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Calibri" w:hAnsi="Calibr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ind/>
    </w:pPr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2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2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2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Index"/>
    <w:basedOn w:val="Style_2"/>
    <w:link w:val="Style_8_ch"/>
  </w:style>
  <w:style w:styleId="Style_8_ch" w:type="character">
    <w:name w:val="Index"/>
    <w:basedOn w:val="Style_2_ch"/>
    <w:link w:val="Style_8"/>
  </w:style>
  <w:style w:styleId="Style_9" w:type="paragraph">
    <w:name w:val="Caption"/>
    <w:basedOn w:val="Style_2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2_ch"/>
    <w:link w:val="Style_9"/>
    <w:rPr>
      <w:i w:val="1"/>
      <w:sz w:val="24"/>
    </w:rPr>
  </w:style>
  <w:style w:styleId="Style_1" w:type="paragraph">
    <w:name w:val="Normal (Web)"/>
    <w:basedOn w:val="Style_2"/>
    <w:link w:val="Style_1_ch"/>
    <w:pPr>
      <w:spacing w:after="100" w:before="100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styleId="Style_10" w:type="paragraph">
    <w:name w:val="Text body"/>
    <w:basedOn w:val="Style_2"/>
    <w:link w:val="Style_10_ch"/>
    <w:pPr>
      <w:spacing w:after="120" w:before="0"/>
      <w:ind/>
    </w:pPr>
  </w:style>
  <w:style w:styleId="Style_10_ch" w:type="character">
    <w:name w:val="Text body"/>
    <w:basedOn w:val="Style_2_ch"/>
    <w:link w:val="Style_10"/>
  </w:style>
  <w:style w:styleId="Style_11" w:type="paragraph">
    <w:name w:val="toc 3"/>
    <w:next w:val="Style_2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List"/>
    <w:basedOn w:val="Style_10"/>
    <w:link w:val="Style_12_ch"/>
  </w:style>
  <w:style w:styleId="Style_12_ch" w:type="character">
    <w:name w:val="List"/>
    <w:basedOn w:val="Style_10_ch"/>
    <w:link w:val="Style_12"/>
  </w:style>
  <w:style w:styleId="Style_13" w:type="paragraph">
    <w:name w:val="heading 5"/>
    <w:next w:val="Style_2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heading 1"/>
    <w:next w:val="Style_2"/>
    <w:link w:val="Style_15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basedOn w:val="Style_14"/>
    <w:link w:val="Style_16_ch"/>
    <w:rPr>
      <w:color w:val="0000FF"/>
      <w:u w:color="0000FF" w:val="single"/>
    </w:rPr>
  </w:style>
  <w:style w:styleId="Style_16_ch" w:type="character">
    <w:name w:val="Hyperlink"/>
    <w:basedOn w:val="Style_14_ch"/>
    <w:link w:val="Style_16"/>
    <w:rPr>
      <w:color w:val="0000FF"/>
      <w:u w:color="0000FF"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2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2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2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Heading"/>
    <w:basedOn w:val="Style_2"/>
    <w:next w:val="Style_10"/>
    <w:link w:val="Style_22_ch"/>
    <w:pPr>
      <w:keepNext w:val="1"/>
      <w:spacing w:after="120" w:before="240"/>
      <w:ind/>
    </w:pPr>
    <w:rPr>
      <w:rFonts w:ascii="Arial" w:hAnsi="Arial"/>
      <w:sz w:val="28"/>
    </w:rPr>
  </w:style>
  <w:style w:styleId="Style_22_ch" w:type="character">
    <w:name w:val="Heading"/>
    <w:basedOn w:val="Style_2_ch"/>
    <w:link w:val="Style_22"/>
    <w:rPr>
      <w:rFonts w:ascii="Arial" w:hAnsi="Arial"/>
      <w:sz w:val="28"/>
    </w:rPr>
  </w:style>
  <w:style w:styleId="Style_23" w:type="paragraph">
    <w:name w:val="toc 5"/>
    <w:next w:val="Style_2"/>
    <w:link w:val="Style_23_ch"/>
    <w:uiPriority w:val="39"/>
    <w:pPr>
      <w:ind w:firstLine="0" w:left="800"/>
    </w:pPr>
  </w:style>
  <w:style w:styleId="Style_23_ch" w:type="character">
    <w:name w:val="toc 5"/>
    <w:link w:val="Style_23"/>
  </w:style>
  <w:style w:styleId="Style_24" w:type="paragraph">
    <w:name w:val="Subtitle"/>
    <w:next w:val="Style_2"/>
    <w:link w:val="Style_24_ch"/>
    <w:uiPriority w:val="11"/>
    <w:qFormat/>
    <w:rPr>
      <w:rFonts w:ascii="XO Thames" w:hAnsi="XO Thames"/>
      <w:i w:val="1"/>
      <w:color w:val="616161"/>
      <w:sz w:val="24"/>
    </w:rPr>
  </w:style>
  <w:style w:styleId="Style_24_ch" w:type="character">
    <w:name w:val="Subtitle"/>
    <w:link w:val="Style_24"/>
    <w:rPr>
      <w:rFonts w:ascii="XO Thames" w:hAnsi="XO Thames"/>
      <w:i w:val="1"/>
      <w:color w:val="616161"/>
      <w:sz w:val="24"/>
    </w:rPr>
  </w:style>
  <w:style w:styleId="Style_25" w:type="paragraph">
    <w:name w:val="toc 10"/>
    <w:next w:val="Style_2"/>
    <w:link w:val="Style_25_ch"/>
    <w:uiPriority w:val="39"/>
    <w:pPr>
      <w:ind w:firstLine="0" w:left="1800"/>
    </w:pPr>
  </w:style>
  <w:style w:styleId="Style_25_ch" w:type="character">
    <w:name w:val="toc 10"/>
    <w:link w:val="Style_25"/>
  </w:style>
  <w:style w:styleId="Style_26" w:type="paragraph">
    <w:name w:val="Title"/>
    <w:next w:val="Style_2"/>
    <w:link w:val="Style_26_ch"/>
    <w:uiPriority w:val="10"/>
    <w:qFormat/>
    <w:rPr>
      <w:rFonts w:ascii="XO Thames" w:hAnsi="XO Thames"/>
      <w:b w:val="1"/>
      <w:sz w:val="52"/>
    </w:rPr>
  </w:style>
  <w:style w:styleId="Style_26_ch" w:type="character">
    <w:name w:val="Title"/>
    <w:link w:val="Style_26"/>
    <w:rPr>
      <w:rFonts w:ascii="XO Thames" w:hAnsi="XO Thames"/>
      <w:b w:val="1"/>
      <w:sz w:val="52"/>
    </w:rPr>
  </w:style>
  <w:style w:styleId="Style_27" w:type="paragraph">
    <w:name w:val="heading 4"/>
    <w:next w:val="Style_2"/>
    <w:link w:val="Style_27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7_ch" w:type="character">
    <w:name w:val="heading 4"/>
    <w:link w:val="Style_27"/>
    <w:rPr>
      <w:rFonts w:ascii="XO Thames" w:hAnsi="XO Thames"/>
      <w:b w:val="1"/>
      <w:color w:val="595959"/>
      <w:sz w:val="26"/>
    </w:rPr>
  </w:style>
  <w:style w:styleId="Style_28" w:type="paragraph">
    <w:name w:val="heading 2"/>
    <w:next w:val="Style_2"/>
    <w:link w:val="Style_28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8_ch" w:type="character">
    <w:name w:val="heading 2"/>
    <w:link w:val="Style_28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