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Республика Мордовия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Чамзинский муниципальный район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Распоряжение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28.02.2020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                                                  с. Апраксино                                                     № 7</w:t>
      </w:r>
    </w:p>
    <w:tbl>
      <w:tblPr/>
      <w:tblGrid>
        <w:gridCol w:w="9213"/>
      </w:tblGrid>
      <w:tr>
        <w:trPr>
          <w:trHeight w:val="1" w:hRule="atLeast"/>
          <w:jc w:val="left"/>
        </w:trPr>
        <w:tc>
          <w:tcPr>
            <w:tcW w:w="921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4" w:type="dxa"/>
              <w:right w:w="14" w:type="dxa"/>
            </w:tcMar>
            <w:vAlign w:val="center"/>
          </w:tcPr>
          <w:p>
            <w:pPr>
              <w:spacing w:before="100" w:after="10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   «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Об учетной политике Администрации Апраксинского сельского поселения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</w:tbl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Во исполнение Закона от 6 декабря 2011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402-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 бухгалтерском учёте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приказом Министерства Финансов Российской Федерации от 01 декабря 2010 года № 157-Н “Об утверждении единого плана счетов бухгалтерского учета и инструкции по его применению”,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Апраксинского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Утвердить учетную политику для целей бухгалтерского учета Администрации Апраксинского сельского поселения в соответствии с приложением к настоящему распоряжению.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Считать утратившим силу Постановление Администрации Апраксинского сельского поселения от 18.03.2019г. № 14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утверждении Учетной политики администрации Апраксинского  сельского поселения на 2019 год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Настоящие постановление вступает в силу со дня подписания и распространяет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свои действия на правоотношения, возникшие с 01.01.2020г.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FFFFFF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Глава администрации  Апраксинского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сельского поселения                                                                                              Н.С.Кульчихина </w:t>
      </w:r>
    </w:p>
    <w:p>
      <w:pPr>
        <w:spacing w:before="1152" w:after="200" w:line="240"/>
        <w:ind w:right="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1152" w:after="200" w:line="240"/>
        <w:ind w:right="7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1152" w:after="200" w:line="240"/>
        <w:ind w:right="7" w:left="0" w:firstLine="0"/>
        <w:jc w:val="righ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FFFFFF" w:val="clear"/>
        </w:rPr>
      </w:pPr>
    </w:p>
    <w:p>
      <w:pPr>
        <w:spacing w:before="1152" w:after="200" w:line="240"/>
        <w:ind w:right="7" w:left="0" w:firstLine="0"/>
        <w:jc w:val="righ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FFFFFF" w:val="clear"/>
        </w:rPr>
      </w:pPr>
    </w:p>
    <w:p>
      <w:pPr>
        <w:spacing w:before="1152" w:after="0" w:line="240"/>
        <w:ind w:right="7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Приложение</w:t>
      </w:r>
    </w:p>
    <w:p>
      <w:pPr>
        <w:spacing w:before="0" w:after="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к распоряжению</w:t>
      </w:r>
    </w:p>
    <w:p>
      <w:pPr>
        <w:spacing w:before="0" w:after="0" w:line="240"/>
        <w:ind w:right="22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FFFFFF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сельского поселения</w:t>
      </w:r>
    </w:p>
    <w:p>
      <w:pPr>
        <w:spacing w:before="0" w:after="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от 28.02.2020 № </w:t>
      </w:r>
    </w:p>
    <w:p>
      <w:pPr>
        <w:spacing w:before="0" w:after="200" w:line="240"/>
        <w:ind w:right="1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Положение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 учетной политике для целей бухгалтерского учета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Общие положения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Учетная политика Администрации Апраксинского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 (далее - учётная политика) разработана в соответствии с нормативными правовыми актами, устанавливающими единство общих принципов исполнения бюджета, организации бюджетной системы, в том числе: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Бюджетный кодекс Российской Федерации;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Законом от 8 мая 2010г. № 83-ФЗ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внесении изменений в отдельные законодательные акты РФ в связи с совершенствованием правового положения государственных (муниципальных) учреждений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Федеральным законом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бухгалтерском учете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06 декабря 2011 г. № 402-ФЗ;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Приказ Министерства финансов Российской Федерации от 01 декабря 2010 г. №157н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утверждении Единого плана счетов бухгалтерского учета для государственных органов власти, органов местного самоуправления, государственных учреждений и Инструкции по его применению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Приказ Министерства финансов Российской Федерации от 16 декабря 2010г. № 174Н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утверждении плана счетов бюджетного учета и инструкции по его применению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Приказ Министерства финансов Российской Федерации от 15 декабря  2010 года № 173н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утверждении форм первичных документов и  регистров бухгалтерского учета, применяемых органами местного самоуправления, органами управления государственными академиями наук, государственными (муниципальными) учреждениями и Методических указаний по их применению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Приказ Министерства финансов Российской Федерации от 01.07.2013№ 65н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утверждении Указаний о порядке применения бюджетной классификации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Приказ Федерального казначейства от 29.12.2012 № 24н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порядке открытия и ведения лицевых счетов Федеральным казначейством и его территориальными органами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Приказ Федерального казначейства от 10.10.2008 № 8н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numPr>
          <w:ilvl w:val="0"/>
          <w:numId w:val="22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приказом Минфина от 29.11.2017 № 209н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Об утверждении Порядка применения классификации операций сектора государственного управления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 изменениями от 07.01.2019г. по приказу Минфина России от 30.11.2018г. № 246Н;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Минфина России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66CC"/>
            <w:spacing w:val="0"/>
            <w:position w:val="0"/>
            <w:sz w:val="24"/>
            <w:u w:val="single"/>
            <w:shd w:fill="FFFFFF" w:val="clear"/>
          </w:rPr>
          <w:t xml:space="preserve">от 31.12.2016 г. N 256н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 утверждении 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 (далее - ФСБУ "Концептуальные основы");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   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Минфина России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66CC"/>
            <w:spacing w:val="0"/>
            <w:position w:val="0"/>
            <w:sz w:val="24"/>
            <w:u w:val="single"/>
            <w:shd w:fill="FFFFFF" w:val="clear"/>
          </w:rPr>
          <w:t xml:space="preserve">от 31.12.2016 г. N 257н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 утверждении федерального стандарта бухгалтерского учета для организаций государственного сектора "Основные средства" (далее - ФСБУ "Основные средства");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   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Минфина России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66CC"/>
            <w:spacing w:val="0"/>
            <w:position w:val="0"/>
            <w:sz w:val="24"/>
            <w:u w:val="single"/>
            <w:shd w:fill="FFFFFF" w:val="clear"/>
          </w:rPr>
          <w:t xml:space="preserve">от 31.12.2016 г. N 258н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 утверждении федерального стандарта бухгалтерского учета для организаций государственного сектора "Аренда" (далее - ФСБУ "Аренда");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  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Минфина России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66CC"/>
            <w:spacing w:val="0"/>
            <w:position w:val="0"/>
            <w:sz w:val="24"/>
            <w:u w:val="single"/>
            <w:shd w:fill="FFFFFF" w:val="clear"/>
          </w:rPr>
          <w:t xml:space="preserve">от 31.12.2016 г. N 259н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 утверждении федерального стандарта бухгалтерского учета для организаций государственного сектора "Обесценение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активов" (далее – ФСБУ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Обесценение активов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»);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   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Минфина России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66CC"/>
            <w:spacing w:val="0"/>
            <w:position w:val="0"/>
            <w:sz w:val="24"/>
            <w:u w:val="single"/>
            <w:shd w:fill="FFFFFF" w:val="clear"/>
          </w:rPr>
          <w:t xml:space="preserve">от 31.12.2016 г. N 260н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 утверждении федерального стандарта бухгалтерского учета для организаций государственного сектора "Представление бухгалтерской (финансовой) отчетности";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  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Минфина России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66CC"/>
            <w:spacing w:val="0"/>
            <w:position w:val="0"/>
            <w:sz w:val="24"/>
            <w:u w:val="single"/>
            <w:shd w:fill="FFFFFF" w:val="clear"/>
          </w:rPr>
          <w:t xml:space="preserve">от 30.12.2017 г. N 274н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 утверждении федерального стандарта бухгалтерского учета для организаций государственного сектора "Учетная политика, оценочные значения и ошибки" (далее - ФСБУ "Учетная политика");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  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Минфина России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hyperlink xmlns:r="http://schemas.openxmlformats.org/officeDocument/2006/relationships" r:id="docRId6">
        <w:r>
          <w:rPr>
            <w:rFonts w:ascii="Times New Roman" w:hAnsi="Times New Roman" w:cs="Times New Roman" w:eastAsia="Times New Roman"/>
            <w:color w:val="0066CC"/>
            <w:spacing w:val="0"/>
            <w:position w:val="0"/>
            <w:sz w:val="24"/>
            <w:u w:val="single"/>
            <w:shd w:fill="FFFFFF" w:val="clear"/>
          </w:rPr>
          <w:t xml:space="preserve">от 30.12.2017 г. N 275н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 утверждении федерального стандарта бухгалтерского учета для организаций государственного сектора "События после отчетной даты" (далее - ФСБУ "События после отчетной даты");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   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Минфина России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hyperlink xmlns:r="http://schemas.openxmlformats.org/officeDocument/2006/relationships" r:id="docRId7">
        <w:r>
          <w:rPr>
            <w:rFonts w:ascii="Times New Roman" w:hAnsi="Times New Roman" w:cs="Times New Roman" w:eastAsia="Times New Roman"/>
            <w:color w:val="0066CC"/>
            <w:spacing w:val="0"/>
            <w:position w:val="0"/>
            <w:sz w:val="24"/>
            <w:u w:val="single"/>
            <w:shd w:fill="FFFFFF" w:val="clear"/>
          </w:rPr>
          <w:t xml:space="preserve">от 30.12.2017 г. N 278н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 утверждении федерального стандарта бухгалтерского учета для организаций государственного сектора "Отчет о движении денежных средств" (далее - ФСБУ "Отчет о ДДС");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   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Приказом Минфина России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hyperlink xmlns:r="http://schemas.openxmlformats.org/officeDocument/2006/relationships" r:id="docRId8">
        <w:r>
          <w:rPr>
            <w:rFonts w:ascii="Times New Roman" w:hAnsi="Times New Roman" w:cs="Times New Roman" w:eastAsia="Times New Roman"/>
            <w:color w:val="0066CC"/>
            <w:spacing w:val="0"/>
            <w:position w:val="0"/>
            <w:sz w:val="24"/>
            <w:u w:val="single"/>
            <w:shd w:fill="FFFFFF" w:val="clear"/>
          </w:rPr>
          <w:t xml:space="preserve">от 27.02.2018 г. N 32н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 утверждении федерального стандарта бухгалтерского учета для организаций государственного сектора "Доходы" (далее - ФСБУ "Доходы");</w:t>
      </w:r>
    </w:p>
    <w:p>
      <w:pPr>
        <w:numPr>
          <w:ilvl w:val="0"/>
          <w:numId w:val="24"/>
        </w:numPr>
        <w:spacing w:before="0" w:after="0" w:line="240"/>
        <w:ind w:right="0" w:left="785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Организация и ведение бюджетного учета.</w:t>
      </w:r>
    </w:p>
    <w:p>
      <w:pPr>
        <w:spacing w:before="0" w:after="0" w:line="240"/>
        <w:ind w:right="0" w:left="425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Бухгалтерский учет Администрации Апраксинского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ведется, в соответствии со статьей 7 Федерального закона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бухгалтерском учете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06 декабря 2011 года № 402 ФЗ, осуществляется МКУ Чамзинского района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Центр образования муниципальных учреждений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numPr>
          <w:ilvl w:val="0"/>
          <w:numId w:val="27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651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учреждении утвержден состав постоянно действующих комиссий: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комиссии по поступлению и выбытию активов (приложение 1); 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инвентаризационной комиссии (приложение 2); </w:t>
      </w:r>
    </w:p>
    <w:p>
      <w:pPr>
        <w:numPr>
          <w:ilvl w:val="0"/>
          <w:numId w:val="27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651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Перечень должностей сотрудников, с которыми учреждение заключает договоры о полной материальной ответственности, приведен в приложении 3.</w:t>
      </w:r>
    </w:p>
    <w:p>
      <w:pPr>
        <w:numPr>
          <w:ilvl w:val="0"/>
          <w:numId w:val="27"/>
        </w:numPr>
        <w:spacing w:before="0" w:after="0" w:line="240"/>
        <w:ind w:right="0" w:left="651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График документооборота в Администрации Апраксинского сельского поселения представлен в приложении №4.</w:t>
      </w:r>
    </w:p>
    <w:p>
      <w:pPr>
        <w:numPr>
          <w:ilvl w:val="0"/>
          <w:numId w:val="27"/>
        </w:numPr>
        <w:spacing w:before="0" w:after="0" w:line="240"/>
        <w:ind w:right="0" w:left="651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Технология обработки учетной информации- ведется автоматизированным способом с использованием программ 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СПредприятие версия 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Камин:Расчет заработной платы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numPr>
          <w:ilvl w:val="0"/>
          <w:numId w:val="27"/>
        </w:numPr>
        <w:spacing w:before="0" w:after="0" w:line="240"/>
        <w:ind w:right="0" w:left="651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Перечень лиц, имеющих право подписи денежных и расчетных документов ,финансовых и кредитных обязательств: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Первая подпись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Глава сельского поселения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Вторая подпись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Начальник отдела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Электронный документооборот бухгалтерия осуществляет с использованием телекоммуникационных каналов связи и электронной подписи по следующим направлениям:</w:t>
      </w:r>
    </w:p>
    <w:p>
      <w:pPr>
        <w:numPr>
          <w:ilvl w:val="0"/>
          <w:numId w:val="31"/>
        </w:numPr>
        <w:tabs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284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система электронного документооборота с территориальным органом Казначейства России;</w:t>
      </w:r>
    </w:p>
    <w:p>
      <w:pPr>
        <w:numPr>
          <w:ilvl w:val="0"/>
          <w:numId w:val="31"/>
        </w:numPr>
        <w:tabs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284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передача бухгалтерской отчетности Финансовому управлению Чамзинского муниципального района;</w:t>
      </w:r>
    </w:p>
    <w:p>
      <w:pPr>
        <w:numPr>
          <w:ilvl w:val="0"/>
          <w:numId w:val="31"/>
        </w:numPr>
        <w:tabs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284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передача отчетности по налогам, сборам и иным обязательным платежам в инспекцию Федеральной налоговой службы;</w:t>
      </w:r>
    </w:p>
    <w:p>
      <w:pPr>
        <w:numPr>
          <w:ilvl w:val="0"/>
          <w:numId w:val="31"/>
        </w:numPr>
        <w:tabs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284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передача отчетности по страховым взносам и сведениям персонифицированного учета в отделение Пенсионного фонда России;</w:t>
      </w:r>
    </w:p>
    <w:p>
      <w:pPr>
        <w:numPr>
          <w:ilvl w:val="0"/>
          <w:numId w:val="31"/>
        </w:numPr>
        <w:tabs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651" w:hanging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передача сведений и отчетности по статистическому учету в органы статистического наблюдения;</w:t>
      </w:r>
    </w:p>
    <w:p>
      <w:pPr>
        <w:numPr>
          <w:ilvl w:val="0"/>
          <w:numId w:val="31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809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Бухгалтерский учет ведется в рублях.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numPr>
          <w:ilvl w:val="0"/>
          <w:numId w:val="31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809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Бухгалтерский учет ведется с использованием рабочего Плана счетов включающим в себя аналитические коды видов поступлений – доходов, аналитические коды видов выбытий-расходов и иных выплат, раздельно в разрезе разделов,подразделов,целевыхстатей,видоврасходов,КОСГУ. (приложение 5), разработанного в соответствии с Инструкцией к Единому плану счетов № 157н, п.19 ФСБУ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Концептуальные основы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numPr>
          <w:ilvl w:val="0"/>
          <w:numId w:val="31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651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Учреждение применяет забалансовые счета, утвержденные в Инструкции к Единому плану счетов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157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н.</w:t>
        <w:br/>
        <w:t xml:space="preserve">Перечень используемых забалансовых счетов приведен в приложении 9.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1.10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Бухгалтерский учет ведется по проверенным и принятым к учету первичным документам методом начисления. Первичные(сводные) учетные документы принимаются к бухгалтерскому учету, если они составлены по унифицированным формам документов. Первичный учетный документ принимается к бухгалтерскому учету при условии отражения в нем всех реквизитов,предусмотренных унифицированной формой документа и при наличии на документе подписи руководителя учреждения. Документ. Которыми оформляются факты хозяйственной жизни с денежными средствами,принимаются к отражению в бухгалтерском учете при наличии на документе подписи руководителя.</w:t>
      </w:r>
    </w:p>
    <w:p>
      <w:pPr>
        <w:numPr>
          <w:ilvl w:val="0"/>
          <w:numId w:val="36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648" w:hanging="50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систематизации и накопления информации содержащийся в принятых к учету первичных учетных документах учреждением применяются: регистры бухгалтерского учета. Регистры бухгалтерского учета формируются в виде:книг,журналов,карточек на бумажных носителях, по итогам месяца.Журналам операций присваиваются номера согласно приложению 6. Журналы операций подписываются бухгалтером, составившим журнал операций.</w:t>
      </w:r>
    </w:p>
    <w:p>
      <w:pPr>
        <w:numPr>
          <w:ilvl w:val="0"/>
          <w:numId w:val="36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648" w:hanging="50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Закупка товаров(работ,услуг)для государственных(муниципальных)нужд осуществляется в соответствии с Федеральным законом от05.04.2013г. №44-ФЗ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контрактной системе в сфере закупок товаров,работ,услугдля обеспечения деятельности государственных и муниципальных учреждений.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планом закупок.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Учет основных средств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Учет основных средств ведется учреждением в соответствии с ФСБУ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Основные средства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применяемым одновременно с  ФСБУ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Концептуальный основы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Инструкцией №157н.</w:t>
      </w:r>
    </w:p>
    <w:p>
      <w:pPr>
        <w:numPr>
          <w:ilvl w:val="0"/>
          <w:numId w:val="41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11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Критерии признания активов основными средствами: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Активы не зависимо от стоимости принимаются к учету в качестве основных средств при одновременном соблюдении следующих условий: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актив предназначен для неоднократного или постоянного использования при выполнении государственных(муниципальных) полномочий,для деятельности по выполнению работ(услуг) или для управленческих нужд учреждения;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использовании актива планируется получить экономические выгоды или полезный потенциал, и первоначальную стоимость актива как объекта бухгалтерского учета можно надежно оценить;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срок полезного использования актива составляет более 12 месяцев;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актив находится в эксплуатации, в запасе или на консервации, либо передан во временное владение и пользование по договору аренды(имущественного найма)либо по договору безвозмездного пользования.</w:t>
      </w:r>
    </w:p>
    <w:p>
      <w:pPr>
        <w:numPr>
          <w:ilvl w:val="0"/>
          <w:numId w:val="43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11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Основные средства принимаются к бухгалтерскому учету по первоначальной стоимости, порядок определения которой зависит от способа поступления имущества в учреждение. </w:t>
      </w:r>
    </w:p>
    <w:p>
      <w:pPr>
        <w:numPr>
          <w:ilvl w:val="0"/>
          <w:numId w:val="43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11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Безвозмездно полученные объекты основных средств, а также неучтенные объекты, выявленные при проведении проверок и инвентаризаций, принимаются к учету по справедливой стоимости, установленной методом рыночных цен на дату его принятия.</w:t>
      </w:r>
    </w:p>
    <w:p>
      <w:pPr>
        <w:numPr>
          <w:ilvl w:val="0"/>
          <w:numId w:val="43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1128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Единицей учета основных средств является инвентарный объект.  Объекты основных средств ,стоимость которых не является существенной (составляет менее 10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рублей за еденицу). С одинаковым направлением использования(библиотечные фонды, периферийные устройства, компьютерное оборудование) объединяются в один инвентарный объект.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  <w:vertAlign w:val="superscript"/>
        </w:rPr>
        <w:t xml:space="preserve">     </w:t>
      </w:r>
    </w:p>
    <w:p>
      <w:pPr>
        <w:numPr>
          <w:ilvl w:val="0"/>
          <w:numId w:val="43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11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Каждому объекту недвижимого, а также движимого имущества стоимостью свыше 10000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руб. присваивается уникальный инвентарный номер, состоящий из десяти знаков: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й разряд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амортизационная группа, к которой отнесен объект при принятии к учету (при отнесении инвентарного объекта к 10-й амортизационной группе в данном разряде проставляется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«0»);</w:t>
        <w:br/>
        <w:t xml:space="preserve">2–4-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й разряды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код объекта учета синтетического счета в Плане счетов бухгалтерского </w:t>
        <w:br/>
        <w:t xml:space="preserve">учета (приложение 1 к приказу Минфина России от 16 декабря 2010 г. № 174н);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5–6-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й разряды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код группы и вида синтетического счета Плана счетов бухгалтерского </w:t>
        <w:br/>
        <w:t xml:space="preserve">учета (приложение 1 к приказу Минфина России от 16 декабря 2010 г. № 174н);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7–10-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й разряды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порядковый номер нефинансового актива.</w:t>
      </w:r>
    </w:p>
    <w:p>
      <w:pPr>
        <w:numPr>
          <w:ilvl w:val="0"/>
          <w:numId w:val="43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11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Присвоенный объекту инвентарный номер  наносится на инвентарный объект. В случае если объект является сложным(комплексом конструктивно-сочлененных предметов),инвентарный номер обозначается на каждом составляющем элементе тем же способом, что и на сложном объекте.Если отдельно амортизируется часть инвентарного объекта м устанавливается отдельный срок использования или иной метод амортизации по этой части ,то  в комплексе объектов, учитываемых под одним инвентарным номером, каждому элементу присваивается внутренний порядковый номер: общий инвентарный номер + порядковый номер элемента.</w:t>
      </w:r>
    </w:p>
    <w:p>
      <w:pPr>
        <w:numPr>
          <w:ilvl w:val="0"/>
          <w:numId w:val="43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11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ОК 013-2014, утвержденного приказом Росстандарта от 12 декабря 2014 г. № 2018-ст. Основание: пункт 45 Инструкции к Единому плану счетов № 157н.</w:t>
      </w:r>
    </w:p>
    <w:p>
      <w:pPr>
        <w:numPr>
          <w:ilvl w:val="0"/>
          <w:numId w:val="43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11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Основные средства стоимостью до 10 000 руб. включительно, находящиеся в эксплуатации, учитываются на одноименном забалансовом счете 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Основные средства в эксплуатации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Принятие к забалансовому учету объектов основных средств осуществляется по балансовой стоимости введенного в эксплуатациюобъекта.</w:t>
      </w:r>
    </w:p>
    <w:p>
      <w:pPr>
        <w:numPr>
          <w:ilvl w:val="0"/>
          <w:numId w:val="43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11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Срок полезного использования объектов основных средств устанавливает утвержденная комиссия по принятию основных средств,  на основе: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информации, содержащейся в Общероссийском классификаторе основных фондов ОК 013-2014;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рекомендаций, содержащихся в документах производителя, – при отсутствии объекта в Общероссийском классификаторе.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объектов, включенных в амортизационные группы с первой по девятую, срок полезного использования определяется по наибольшему сроку, указанному в постановлении Правительства РФ от 1 января 2002 г. № 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Классификации основных средств, включаемых в амортизационные группы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отношении основных средств которые не соответствуют критериям актива и до принятия решения об их списании подлежат отражению на забалансовом счете 02.Методы оценки их учета: по  остаточной стоимости(при наличии);в условной оценки(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один объект- один рубль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»),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полной амортизации объекта(при нулевой остаточной стоимости).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Учет операций по поступлению объектов основных средств ведется в журнале операций по выбытию и перемещению нефинансовых активов.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Учет амортизации основных средств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объекты основных средств стоимость от 10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 100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рублей включительно (за исключением объекта библиотечного фонда) амортизация начисляется в размере 100% первоначальной стоимости при выдачи его в эксплуатацию.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объекты основных средств  стоимостью до 10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рублей включительно, за  исключением объектов библиотечного фонда амортизация не начисляется. Первоначальная стоимость введенного(переданного) в эксплуатацию объекта, являющегося объектом движимого имущества, списывается с балансового учета  с одновременным отражением объекта основных средств на забалансовом счете.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объекты основных средств стоимостью свыше 100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рублей амортизация начисляется в соответствии с рассчитанными нормами.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объекты библиотечного фонда стоимостью до 100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рублей включительно амортизация начисляется в размере 100% первоначальной стоимости при выдачи в эксплуатацию.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Начисление амортизации производится не выше 100% стоимости основных средств.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Начисление амортизации в размере 100% стоимости на объекты, которые годны для дальнейшей эксплуатации, не служат основанием для списания их по причине полного износа.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Инвентаризация основных средств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45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735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Плановая ежегодная инвентаризация основных средств(в т. ч. числящихся на забалансовых счетах)материальных запасов и обязательств проводится передсоставлением годовойотчетности не позднее 1 декабря.</w:t>
      </w:r>
    </w:p>
    <w:p>
      <w:pPr>
        <w:numPr>
          <w:ilvl w:val="0"/>
          <w:numId w:val="45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735" w:hanging="37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проведении инвентаризации основных средств производится проверка: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фактического наличия основных средств;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состояния объектов основных средств – выявляются объекты нуждающиеся в ремонте,восстановлении, списании;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сохранности инвентарных номеров основных средств,нанесенных на объект и их составные части,приспособления,принадлежности;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наличия и сохранности технической документации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4.3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выявлении основных средств, не пригодных к эксплуатации,составляется отдельная Инвентарная опись(ф. 0504087) таких основных средств с указанием причин непригодности.Опись непригодных основных средств составляется к основной Инвентарной описи(ф. 0504087),подтверждающей общие наличие основных средств,закрепленных за соответствующим материально ответственным лицом.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5.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Учет непроизводственных активов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5.1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Земельные участки, закрепленные за учреждением на праве постоянного (бессрочного) пользования (в т. ч. расположенные под объектами недвижимости), учитываются на счете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Земля – недвижимое имущество учреждения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Основание для постановки на учет – выписка из единого государственного реестра недвижимости (ЕГРН), подтверждающее право пользования земельным участком. Учет ведется по кадастровой стоимости.</w:t>
        <w:br/>
        <w:t xml:space="preserve">Основание: пункты 71, 78 Инструкции к Единому плану счетов № 157н.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Учет материальных ценностей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Учреждение учитывает в составе материальных запасов материальные объекты, указанные в пунктах 98–99 Инструкции к Единому плану счетов № 157н, а также канцелярские принадлежности, для которых производитель не указал в документах гарантийный срок использования.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Оценка материальных запасов, которые приобретены за плату, осуществляется по фактической стоимости приобретения с учетом расходов, связанных с их приобретением.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одновременном приобретении нескольких видов материальных запасов расходы, связанные с их приобретением, распределяются пропорционально договорной цене приобретаемых материалов.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Единицей учета материальных запасов является номенклатурный номер.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Списание материальных запасов производится по фактической стоимости.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Нормы на расходы горюче-смазочных материалов (ГСМ) разработаны Министерством транспорта РФ № АМ-23-р от 14.03.2008г.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введении в действие Методических рекомендаций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Нормы расхода топлива и смазочных материалов на автомобильном транспорте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утверждаются распоряжением администрации сельского поселения.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Ежегодно распоряжением администрации сельского поселения утверждается период применения зимней надбавки к нормам расхода ГСМ и ее величина. ГСМ списывается на расходы по фактическому расходу на основании путевых листов, но не выше норм, установленных распоряжением администрации сельского поселения.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Выдача в эксплуатацию на нужды учреждения канцелярских принадлежностей, запасных частей и хозяйственных материалов оформляется Ведомостью выдачи материальных ценностей на нужды учреждения (ф. 0504210). Эта ведомость является основанием для списания материальных запасов.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42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6.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Имущество казны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51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Для учета объектов имущества (нефинансовых активов), составляющих государственную (муниципальную) казну РФ (субъектов и муниципальных образований), в разрезе материальных (нематериальных) основных фондов, непроизведенных активов и материальных запасов предусмотрен счет 108 00 000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Нефинансовые активы имущества казны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». </w:t>
      </w:r>
    </w:p>
    <w:p>
      <w:pPr>
        <w:numPr>
          <w:ilvl w:val="0"/>
          <w:numId w:val="51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 соответствии с пунктом 29 Инструкции 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157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н передача объектов государственного (муниципального) имущества осуществляется по балансовой (фактической) стоимости объектов учета с одновременной передачей (принятием к учету) в случае наличия суммы начисленной на объект нефинансового актива амортизации.</w:t>
      </w:r>
    </w:p>
    <w:p>
      <w:pPr>
        <w:numPr>
          <w:ilvl w:val="0"/>
          <w:numId w:val="51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 случае если имущество казны пришло в негодность и не подлежит дальнейшей эксплуатации, оно может быть списано с баланса. При списании пришедших в негодность объектов имущества казны – по дебету счета 401 10 172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Доходы от операций с активами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и кредиту счетов по остаточной стоимости (одновременно списываются суммы начисленной амортизации). Списание объектов имущества казны, пришедших в негодность вследствие стихийных и иных бедствий, опасного природного явления, катастрофы, отражается по дебету счета 401 20 273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Чрезвычайные расходы по операциям с активами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по остаточной стоимости (одновременно списываются суммы амортизации). Списание недостающего и похищенного имущества казны отражается с использованием счета 401 10 172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Доходы от операций с активами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 данном случае также подлежат списанию суммы начисленной амортизации.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Расчеты по доходам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Учреждение осуществляет бюджетные полномочия администратора доходов бюджета. Порядок осуществления полномочий администратора доходов бюджета определяется в соответствии с законодательством России.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Перечень администрируемых доходов определяется главным администратором доходов бюджета (вышестоящим ведомством).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Поступление и начисление администрируемых доходов отражаются в учете на основании первичных документов, приложенных к выписке из лицевого счета администратора доходов.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Расчеты с подотчетными лицами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54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Денежные средства в подотчет выдаются путем перечисления денежных средств на корпоративную карту,при наличии письменной заявки, с указанием на какие цели и подписью Главы сельского поселения. Так же возмещаются расходы на приобретение материальных ценностей путем перечисления денежных средств на зарплатную карту.</w:t>
      </w:r>
    </w:p>
    <w:p>
      <w:pPr>
        <w:numPr>
          <w:ilvl w:val="0"/>
          <w:numId w:val="54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 следующий перечень должностных лиц, имеющих право на получение наличных денежных средств в подотчет.(Приложение 7)</w:t>
      </w:r>
    </w:p>
    <w:p>
      <w:pPr>
        <w:numPr>
          <w:ilvl w:val="0"/>
          <w:numId w:val="54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Установить максимальный размер аванса для проведения наличных расчетов подотчетным лицом по приобретению нефинансовых активов и оплаты услуг сторонних организаций в сумме 30000 рублей.</w:t>
      </w:r>
    </w:p>
    <w:p>
      <w:pPr>
        <w:numPr>
          <w:ilvl w:val="0"/>
          <w:numId w:val="54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Срок, на который выдаются денежные средства подотчетным лицам для приобретения нефинансовых активов и оплаты услуг сторонним организациям устанавливается на 10 рабочих дней. Если аванс подотчетным лицом использован не полностью, то остаток аванса должен быть возвращен на расчетный счет Администрации сельского поселения .</w:t>
      </w:r>
    </w:p>
    <w:p>
      <w:pPr>
        <w:numPr>
          <w:ilvl w:val="0"/>
          <w:numId w:val="54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Лица, получившие наличные деньги  в подотчет на расходы, связанные со служебными командировками, обязаны не позднее трех рабочих дней по истечении срока, на который они выданы, или со дня возвращения их из командировки предъявить  в бухгалтерию отчет об израсходованных суммах и произвести окончательный расчет по ним. Установить, что сумма средств, выданных в подотчет на командировочные цели, должна соответствовать строго обоснованному расчету.</w:t>
      </w:r>
    </w:p>
    <w:p>
      <w:pPr>
        <w:numPr>
          <w:ilvl w:val="0"/>
          <w:numId w:val="54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следующий перечень должностных лиц, имеющих право на получение доверенностей. (приложение № 8).</w:t>
      </w:r>
    </w:p>
    <w:p>
      <w:pPr>
        <w:numPr>
          <w:ilvl w:val="0"/>
          <w:numId w:val="54"/>
        </w:num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Срок действия доверенности на получение товарно-материальных ценностей устанавливается на 10 календарных дней с даты  выписки. Накладные на полученный товар предоставлять в бухгалтерию в течении двух дней.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Учет финансовых обязательств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9.1.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Учет принятых и (или) денежных обязательств на счетах санкционирования расходов (502.01,502.02) осуществляется на основании документов, подтверждающих их принятие с учетом требований по санкционированию оплаты принятых денежных обязательств: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договора на поставку товаров, выполнение работ, оказание услуг или договор аренды и (или)документ, удостоверяющий возникновение денежного обязательства(счет, счет-фактура, акт выполненных работ, оказанных услуг, товарная накладная, универсаьный передаточный акт).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9.2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Основанием для принятия обязательств по оплате труда и начислениям на оплату труда являются трудовые договора  с работниками, для принятия денежных обязательств – расчетно-платежные ведомости.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9.3.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Установить сроки выдачи заработной платы: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-  25-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 числа каждого месяца- за 1 половину месяца, 10-го числа каждого месяца- за 2 половину месяца,  после оплаты налогов в бюджет и внебюджетные фонды.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Больничные листы оплачивать в течении 10 календарных дней со дня предоставления больничного листа(3 дня за счет работодателя).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Отпускные оплачивать за три дня до начала отпуска 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Расчетные выплаты производятся в день увольнения 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Расчеты по обязательствам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счету 0.303.05.000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Расчеты по прочим платежам в бюджет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применяются дополнительные аналитические коды: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–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Транспортный налог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(1.303.05.852);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–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Пени, штрафы, санкции по налоговым платежам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(1.303.05.853);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Аналитический учет расчетов по пособиям и иным социальным выплатам ведется в разрезе физических лиц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получателей социальных выплат.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Расчеты с дебиторами и кредиторами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Аналитический учет расчетов с поставщиками (подрядчиками) ведется в разрезе кредиторов и дебиторов.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Дебиторская задолженность, признанная нереальной для взыскания в порядке, установленном распоряжением изаконодательством РФ, списывается на финансовый результат на основании данных проведенной инвентаризации. Списанная с балансового учета задолженность отражается на забалансовом счете 04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Задолженность неплатежеспособных дебиторов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 момента: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истечения срока, в который можно возобновить процедуру взыскания согласно законодательству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РФ (в т. ч.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изменения имущественного положения должника);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погашения задолженности контрагентом: когда он внесет деньги или погасит долг другим способом, не противоречащим законодательству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РФ. В этом случае задолженность нужно восстановить на балансовом учете.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Дебиторская задолженность списывается отдельно по каждому обязательству (дебитору).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Кредиторская задолженность, не востребованная кредитором, по которой срок исковой давности истек, списывается на финансовый результат на основании данных проведенной инвентаризации. Срок исковой давности определяется в соответствии с законодательством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Одновременно списанная с балансового учета кредиторская задолженность отражается на забалансовом счете 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Задолженность, не востребованная кредиторами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Списание задолженности с забалансового учета осуществляется по итогам инвентаризации задолженности на основании решения инвентаризационной комиссии учреждения (приложение 2):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истечении пятилет отражения задолженности на забалансовом учете;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завершении срока возможного возобновления процедуры взыскания задолженности согласно действующему законодательству;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наличии документов, подтверждающих прекращение обязательства в связи со смертью (ликвидацией) контрагента.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Кредиторская задолженность списывается отдельно по каждому обязательству (кредитору).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12.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Аренда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12.1</w:t>
      </w: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Объекты бухгалтерского учета, возникающие в рамках договора аренды, классифицируются как объекты учета аренды при единовременном выполнении следующих условий: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1) </w:t>
      </w: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арендодатель предоставляет арендатору предмет аренды на определенный срок;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2) </w:t>
      </w: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предмет аренды может быть идентифицирован (предмет аренды определен в договоре аренды, и у арендодателя отсутствует возможность произвести экономически выгодную для него замену предмета аренды в любой момент в течение срока аренды);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3) </w:t>
      </w: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арендатор имеет право на получение в основном всех экономических выгод (преимуществ) от использования предмета аренды в течение срока аренды;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4) </w:t>
      </w: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арендатор имеет право определять способ использования предмета аренды в течение срока аренды, при этом выполняется одно из следующих условий: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а - арендатор имеет право определять, как и для какой цели используется предмет аренды (далее - порядок использования предмета аренды);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б - порядок использования предмета аренды предопределен (например, в договоре аренды содержатся ограничения, введенные с целью защиты интересов арендодателя), но арендодатель не имеет права дополнительно изменять такой порядок использования в течение срока аренды, а арендатор имеет право на определение параметров производства или использования (например, на изменение вида продукции, срока производства, решения о выпуске продукции);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в - порядок использования арендатором предмета аренды предопределен в связи с созданием (проектированием) предмета аренды либо приведением его в состояние, определенное специально для использования арендатором.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Объекты бухгалтерского учета, не удовлетворяющие указанным условиям и не классифицированные как объекты учета аренды, отражаются в порядке, предусмотренном для отражения в бухгалтерском учете доходов и расходов, связанных с оказанием услуг.</w:t>
      </w:r>
    </w:p>
    <w:p>
      <w:pPr>
        <w:spacing w:before="0" w:after="1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12.2</w:t>
      </w: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В учреждении применяется  операционная аренда.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операционной аренде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срок пользования имущества меньше и не сопоставим с его оставшимся сроком полезного использования, указанным при предоставлении такого имущества, а общая сумма арендных платежей ниже и не сопоставима со справедливой стоимостью передаваемого в пользование имущества.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  <w:t xml:space="preserve">12.3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У принимающей стороны (арендатора (пользователя) имущества).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Согласно п. 20, 21 СГС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Аренда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принимающая сторона при операционной аренде отражает в бухгалтерском учете следующие объекты: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право пользования имуществом (новый балансовый счет 0 111 40 000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Право пользования имуществом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»);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обязательства по уплате арендных платежей (балансовый счет 0 302 24 000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Расчеты по арендной плате за пользование имуществом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»);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-</w:t>
      </w:r>
      <w:hyperlink xmlns:r="http://schemas.openxmlformats.org/officeDocument/2006/relationships" r:id="docRId9">
        <w:r>
          <w:rPr>
            <w:rFonts w:ascii="Times New Roman" w:hAnsi="Times New Roman" w:cs="Times New Roman" w:eastAsia="Times New Roman"/>
            <w:color w:val="000099"/>
            <w:spacing w:val="0"/>
            <w:position w:val="0"/>
            <w:sz w:val="24"/>
            <w:u w:val="single"/>
            <w:shd w:fill="FFFFFF" w:val="clear"/>
          </w:rPr>
          <w:t xml:space="preserve">амортизация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права пользования имуществом (новый балансовый счет 0 104 40 450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Амортизация права пользования имуществом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»);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расходы (обязательства) по условным арендным платежам, возникающие на дату определения их величины (как правило, ежемесячно): соответствующие счета аналитического учета счетов 0 302 00 000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Обязательства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», 0 401 20 000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Расходы текущего финансового года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12.4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Признание права пользования активом производится на дату классификации объектов учета аренды в сумме арендных платежей за весь срок пользования, имуществом, предусмотренный договором аренды (имущественного найма) или договором безвозмездного пользования, с одновременным отражением арендных обязательств пользователя (арендатора) (кредиторской задолженности по аренде).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Принятое к учету право пользования активом подлежит амортизации в течение срока пользования имуществом, установленного договором, методом, применяемым для амортизации объектов основных средств, аналогичных полученному в пользование имуществу. Начисление амортизации (признание текущих расходов в сумме начисленной амортизации) осуществляется ежемесячно в сумме арендных платежей, причитающихся к уплате (п. 21 СГС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Аренда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Остаточная стоимость права пользования активом сторнируется в уменьшение кредиторской задолженности по арендным обязательствам пользователя (арендатора) при досрочном прекращении договора аренды (имущественного найма) или договора безвозмездного пользования, в соответствии с которым были приняты указанные объекты учета операционной аренды. При этом убыток (доход) на счетах учета финансового результата рабочего плана счетов субъекта учета не отражается.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Уплата (исполнение) арендных платежей (условных арендных платежей) отражается как уменьшение кредиторской задолженности по аренде в корреспонденции со счетами учета денежных средств (их эквивалентов), иных финансовых активов.</w:t>
      </w:r>
    </w:p>
    <w:p>
      <w:pPr>
        <w:spacing w:before="100" w:after="30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12.5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У передающей стороны (арендодателя (правообладателя) имущества).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 соответствии с п. 24, 25 СГС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Аренда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основными объектами учета операционной аренды правообладателя (арендодателя) имущества являются: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расчеты по арендным платежам с пользователем имущества (балансовый счет 0 205 21 000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Расчеты с плательщиками доходов от операционной аренды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»);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ожидаемый доход от арендных платежей, рассчитанный за весь срок пользования имуществом, предусмотренный на дату заключения договора (контракта) (балансовый счет 0 401 40 121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Доходы будущих периодов от операционной аренды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»);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доходы (расчеты) по условным арендным платежам, возникающие на дату определения их величины (как правило, ежемесячно): балансовые счета 0 205 35 000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Расчеты по доходам по условным арендным платежам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», 0 401 10 135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Доходы текущего финансового года по условным арендным платежам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Доходы от предоставления права пользования активом признаются доходами текущего финансового года в составе доходов от собственности с одновременным уменьшением предстоящих доходов от предоставления права пользования активом либо равномерно (ежемесячно) на протяжении срока пользования объектом учета аренды, либо в соответствии с установленным договором аренды (имущественного найма) графиком получения арендных платежей. Поступление денежных средств (их эквивалентов), иных финансовых (нефинансовых) активов в счет уплаты арендных платежей (условных арендных платежей) отражается как уменьшение дебиторской задолженности по арендным обязательствам пользователя.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13.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Порядок отражения в учете событий после отчетной даты.</w:t>
      </w:r>
    </w:p>
    <w:p>
      <w:pPr>
        <w:spacing w:before="10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13.1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бухгалтерской отчетности за отчетный год.</w:t>
        <w:br/>
        <w:t xml:space="preserve">К событиям после отчетной даты можно отнести: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13.2.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События, подтверждающие существовавшие на отчетную дату хозяйственные условия, в которых организация вела свою деятельность. К таким событиям можно отнести:</w:t>
        <w:br/>
        <w:t xml:space="preserve">обнаружение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 отчетности за отчетный период;</w:t>
        <w:br/>
        <w:t xml:space="preserve">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переговоры;</w:t>
        <w:br/>
        <w:t xml:space="preserve">объявление в установленном порядке дебитора организации банкротом, если по состоянию на отчетную дату в отношении этого дебитора уже осуществлялась процедура банкротства;</w:t>
        <w:br/>
        <w:t xml:space="preserve">продажа производственных запасов после отчетной даты, показывающая, что расчет цены возможной реализации этих запасов по состоянию на отчетную дату был необоснован.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13.3.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События, свидетельствующие о возникших после отчетной даты хозяйственных условиях, в которых организация ведет свою деятельность, к которым можно отнести:</w:t>
        <w:br/>
        <w:t xml:space="preserve">принятие решения о реорганизации организации;</w:t>
        <w:br/>
        <w:t xml:space="preserve">пожар, авария, стихийное бедствие или другая чрезвычайная ситуация, в результате которой уничтожена значительная часть активов организации.</w:t>
        <w:br/>
        <w:t xml:space="preserve">Данные об активах, обязательствах,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 какой-либо существенной ее части. При этом события после отчетной даты отражаются в учете заключительными оборотами отчетного периода до даты подписания годовой бухгалтерской отчетности в установленном порядке.</w:t>
      </w:r>
    </w:p>
    <w:p>
      <w:pPr>
        <w:spacing w:before="10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14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Финансовый результат</w:t>
      </w:r>
    </w:p>
    <w:p>
      <w:pPr>
        <w:spacing w:before="10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Расходы, произведенные в текущем отчетном периоде, но относящиеся к будущим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отчетным периодам, списываются равномерно на финансовый результат текущего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финансового года в течение периода, к которому они относятся.</w:t>
        <w:br/>
        <w:t xml:space="preserve">Основание: пункт 302 Инструкции к Единому плану счетов № 157н.</w:t>
        <w:br/>
        <w:t xml:space="preserve">В учреждении предусмотрено формирование в бухгалтерском (бюджетном) учете информации о сформированных резервах предстоящих расходов в сумме отложенных обязательств, которые отражаются на счете 040160000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Резервы предстоящих расходов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а именно резерв предстоящих отпусков.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15.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Бухгалтерская (финансовая) отчетность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15.1.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истечении каждого отчетного периода (месяца, квартала, года)первичные учетные документы, сформированные на бумажном носителе, относящиеся к соответствующим Журналам операций побираются, систематизируются и подшиваются в папку (дело)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 обложке папки(дела)указывается: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наименование организации;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название и порядковый номер папки(дела)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период за который сформирован регистр бухгалтерского учета с указанием года и месяца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срок хранения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незначительном количестве документов в течении нескольких месяцев одного финансового года допускается их подшивка в одну папку(дело).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15.2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Месячная,квартальная годовая бухгалтерская отчетность в порядке и сроки, установленные соответствующими нормативно правовыми актами Минфина России и иных уполномоченных органов формируются в электронном виде  с применением 1С:Предприятие и Камин:Расчет заработной платы. После утверждения руководителем организации отчетность в установленные сроки представляется в финансовое управление администрации Чамзинского муниципального района.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15.3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целей налогообложения вести в установленном порядке учет доходов и расходов и объектов налогообложения. Представлять в установленном порядке в налоговый орган по месту в установленном порядке налоговые декларации. Систему налогового учета создать в рамках существующей системы   бюджетного учета, которая развивается и дорабатывается в соответствии с требованиями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№1</w:t>
      </w: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распоряжению</w:t>
      </w: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 от </w:t>
      </w:r>
    </w:p>
    <w:p>
      <w:pPr>
        <w:spacing w:before="0" w:after="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28.02.2020 №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Состав комиссии по поступлению и выбытию нефинансовых активов.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контроля за сохранностью нефинансовых активов и определения целесообразности их списания (выбытия) создать постоянно действующую комиссию по поступлению и выбытию активов в следующем составе: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Глава поселения (председатель комиссии)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Заместитель главы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;2. Возложить на комиссию следующие обязанности: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осмотр объектов нефинансовых активов (в целях принятия к бухучету);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определение текущей оценочной стоимости нефинансовых активов (в целях принятия к бухучету);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принятие решения об отнесении объектов имущества к основным средствам;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осмотр объектов нефинансовых активов, подлежащих списанию (выбытию);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принятие решения о целесообразности (пригодности) дальнейшего использования объектов нефинансовых активов, о возможности и эффективности их восстановления;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определение возможности использования отдельных узлов, деталей, материальных запасов ликвидируемых объектов;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определение причин списания (физический и моральный износ, авария, стихийные бедствия и т.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п.);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выявление виновных лиц (если объект ликвидируется до истечения нормативного срока службы в связи с обстоятельствами, возникшими по чьей-либо вине);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подготовка акта о списании объекта нефинансового актива и документов для согласования с вышестоящей организацией;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принятие решения о сдаче вторичного сырья в организации приема вторичного сырья; </w:t>
      </w:r>
    </w:p>
    <w:tbl>
      <w:tblPr/>
      <w:tblGrid>
        <w:gridCol w:w="3588"/>
        <w:gridCol w:w="920"/>
        <w:gridCol w:w="2031"/>
        <w:gridCol w:w="1443"/>
        <w:gridCol w:w="2039"/>
      </w:tblGrid>
      <w:tr>
        <w:trPr>
          <w:trHeight w:val="252" w:hRule="auto"/>
          <w:jc w:val="left"/>
        </w:trPr>
        <w:tc>
          <w:tcPr>
            <w:tcW w:w="358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 приложением ознакомлены: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Глава администрации  сельского поселения        </w:t>
            </w:r>
          </w:p>
        </w:tc>
        <w:tc>
          <w:tcPr>
            <w:tcW w:w="9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3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Н.С.Кульчихина </w:t>
            </w:r>
          </w:p>
        </w:tc>
        <w:tc>
          <w:tcPr>
            <w:tcW w:w="144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03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Зам. Главы администрации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                                         В.Ю.Сорокина </w:t>
      </w: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Приложение№2</w:t>
      </w: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распоряжению Апраксинского</w:t>
      </w: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от 28.02.2020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Состав инвентаризационной комиссии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numPr>
          <w:ilvl w:val="0"/>
          <w:numId w:val="84"/>
        </w:num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Создать постоянно действующую инвентаризационную комиссию в следующем составе: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tbl>
      <w:tblPr/>
      <w:tblGrid>
        <w:gridCol w:w="3306"/>
        <w:gridCol w:w="3686"/>
        <w:gridCol w:w="2308"/>
      </w:tblGrid>
      <w:tr>
        <w:trPr>
          <w:trHeight w:val="252" w:hRule="auto"/>
          <w:jc w:val="left"/>
        </w:trPr>
        <w:tc>
          <w:tcPr>
            <w:tcW w:w="3306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Председатель комиссии</w:t>
            </w:r>
          </w:p>
        </w:tc>
        <w:tc>
          <w:tcPr>
            <w:tcW w:w="3686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Зам. главы администрации сельского поселения                                                         </w:t>
            </w:r>
          </w:p>
        </w:tc>
        <w:tc>
          <w:tcPr>
            <w:tcW w:w="2308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В.Ю.Сорокина</w:t>
            </w:r>
          </w:p>
        </w:tc>
      </w:tr>
      <w:tr>
        <w:trPr>
          <w:trHeight w:val="252" w:hRule="auto"/>
          <w:jc w:val="left"/>
        </w:trPr>
        <w:tc>
          <w:tcPr>
            <w:tcW w:w="3306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Члены комиссии</w:t>
            </w:r>
          </w:p>
        </w:tc>
        <w:tc>
          <w:tcPr>
            <w:tcW w:w="3686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Бухгалтер                                                         </w:t>
            </w:r>
          </w:p>
        </w:tc>
        <w:tc>
          <w:tcPr>
            <w:tcW w:w="2308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М.В.Пурцакина 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Возложить на постоянно действующую инвентаризационную комиссию следующие обязанности:</w:t>
      </w:r>
    </w:p>
    <w:p>
      <w:pPr>
        <w:numPr>
          <w:ilvl w:val="0"/>
          <w:numId w:val="93"/>
        </w:num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проводить инвентаризацию (в т. Ч. Обязательную) в соответствии с графиком проведения инвентаризаций;</w:t>
      </w:r>
    </w:p>
    <w:p>
      <w:pPr>
        <w:numPr>
          <w:ilvl w:val="0"/>
          <w:numId w:val="93"/>
        </w:num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обеспечивать полноту и точность внесения в инвентаризационные описи данных о фактических остатках основных средств, материальных запасов, товаров, денежных средств, другого имущества и обязательств;</w:t>
      </w:r>
    </w:p>
    <w:p>
      <w:pPr>
        <w:numPr>
          <w:ilvl w:val="0"/>
          <w:numId w:val="93"/>
        </w:num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правильно и своевременно оформлять материалы инвентаризации;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312"/>
        <w:gridCol w:w="424"/>
        <w:gridCol w:w="1385"/>
        <w:gridCol w:w="268"/>
        <w:gridCol w:w="2761"/>
      </w:tblGrid>
      <w:tr>
        <w:trPr>
          <w:trHeight w:val="252" w:hRule="auto"/>
          <w:jc w:val="left"/>
        </w:trPr>
        <w:tc>
          <w:tcPr>
            <w:tcW w:w="43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 приложением ознакомлены: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Председатель комиссии</w:t>
            </w:r>
          </w:p>
        </w:tc>
        <w:tc>
          <w:tcPr>
            <w:tcW w:w="42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</w:t>
            </w:r>
          </w:p>
        </w:tc>
        <w:tc>
          <w:tcPr>
            <w:tcW w:w="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76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В.Ю.Сорокина</w:t>
            </w:r>
          </w:p>
        </w:tc>
      </w:tr>
      <w:tr>
        <w:trPr>
          <w:trHeight w:val="252" w:hRule="auto"/>
          <w:jc w:val="left"/>
        </w:trPr>
        <w:tc>
          <w:tcPr>
            <w:tcW w:w="43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76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252" w:hRule="auto"/>
          <w:jc w:val="left"/>
        </w:trPr>
        <w:tc>
          <w:tcPr>
            <w:tcW w:w="43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Члены комиссии</w:t>
            </w:r>
          </w:p>
        </w:tc>
        <w:tc>
          <w:tcPr>
            <w:tcW w:w="42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_________</w:t>
            </w:r>
          </w:p>
        </w:tc>
        <w:tc>
          <w:tcPr>
            <w:tcW w:w="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76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М.В.Пурцакина</w:t>
            </w:r>
          </w:p>
        </w:tc>
      </w:tr>
      <w:tr>
        <w:trPr>
          <w:trHeight w:val="252" w:hRule="auto"/>
          <w:jc w:val="left"/>
        </w:trPr>
        <w:tc>
          <w:tcPr>
            <w:tcW w:w="43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2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76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252" w:hRule="auto"/>
          <w:jc w:val="left"/>
        </w:trPr>
        <w:tc>
          <w:tcPr>
            <w:tcW w:w="43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200" w:line="276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2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6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0" w:after="200" w:line="276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76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№3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распоряжению от 28.02.2020 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  сельского поселения от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Перечень должностей сотрудников, с которыми заключается договор </w:t>
        <w:br/>
        <w:t xml:space="preserve">о полной материальной ответственности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tbl>
      <w:tblPr/>
      <w:tblGrid>
        <w:gridCol w:w="2426"/>
        <w:gridCol w:w="6709"/>
      </w:tblGrid>
      <w:tr>
        <w:trPr>
          <w:trHeight w:val="252" w:hRule="auto"/>
          <w:jc w:val="left"/>
        </w:trPr>
        <w:tc>
          <w:tcPr>
            <w:tcW w:w="2426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6709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Должность</w:t>
            </w:r>
          </w:p>
        </w:tc>
      </w:tr>
      <w:tr>
        <w:trPr>
          <w:trHeight w:val="252" w:hRule="auto"/>
          <w:jc w:val="left"/>
        </w:trPr>
        <w:tc>
          <w:tcPr>
            <w:tcW w:w="2426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709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Глава администрации  поселения</w:t>
            </w:r>
          </w:p>
        </w:tc>
      </w:tr>
      <w:tr>
        <w:trPr>
          <w:trHeight w:val="252" w:hRule="auto"/>
          <w:jc w:val="left"/>
        </w:trPr>
        <w:tc>
          <w:tcPr>
            <w:tcW w:w="2426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6709" w:type="dxa"/>
            <w:tcBorders>
              <w:top w:val="single" w:color="000001" w:sz="8"/>
              <w:left w:val="single" w:color="000001" w:sz="8"/>
              <w:bottom w:val="single" w:color="000001" w:sz="8"/>
              <w:right w:val="single" w:color="000001" w:sz="8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Заместитель главы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№4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к распоряжению</w:t>
      </w:r>
    </w:p>
    <w:p>
      <w:pPr>
        <w:spacing w:before="0" w:after="200" w:line="240"/>
        <w:ind w:right="22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Апраксинского сельского поселения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от От28.02.2020. №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ГРАФИК ДОКУМЕНТООБОРОТА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648"/>
        <w:gridCol w:w="5040"/>
        <w:gridCol w:w="2340"/>
        <w:gridCol w:w="2003"/>
      </w:tblGrid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документа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Исполнитель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Срок исполнения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Распоряжения о приеме на работу рабочих и служащих 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Руководитель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учреждения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3-х дней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 момента поступления на работу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Распоряжения на увольнение с работы рабочих и служащих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Руководитель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учреждения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день увольнения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Распоряжения о предоставлении отпуска рабочим и служащим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Руководитель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учреждения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 7-14 дней с начала отпуска с учетом выходных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Распоряжения о надбавках, доплатах, премиях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Руководитель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учреждения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5-ти дней от начала надбавки.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доплаты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Документы на льготы по подоходному налогу,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компенсации детям, справка о совокупном доходе с предыдущего места работы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3-х дней с момента поступления на работу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6.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Оформление и сдача больничных листов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 числа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7.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Табель учета рабочего времени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Зам.Главы администрации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 числа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Накладные на приход материалов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Материально-ответственное лицо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3-х дней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после получения товара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Сдача авансовых отчетов на приобретение материалов, ГСМ, прочих услуг за наличный расчет 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Материально-ответственное лицо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течение  3-х дней после получения наличных денег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Кассовые отчеты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Ежедневно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Акт о списании материалов и др. ценностей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 1-го числа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Журнал операций № 1,2 (касса, банк)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 числа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Журнал операций № 6  ( заработная плата)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 числа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Начисление налогов на З/плату, отчеты во внебюджетные (соц. страх, пенсионный фонд, фонд мед. страхования)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 числа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10-12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числа месяца после квартальной даты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Отчеты по труду, статистические отчеты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 срокам статуправления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Отчеты в пенсионный фонд  по персонифицированному учету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Ежегодно по сроку ПФ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Кассовые расходы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 число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Кредиторская и дебиторская задолженность по предприятиям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 число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19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Журнал операций № 3 подотчетные лица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 число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Журнал операций № 4 дебиторы- кредиторы 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 число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Журнал операций № 5 расчеты с дебиторами по доходам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 число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Журнал операций № 7 выбытие нефинансовых активов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 число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Оборотные ведомости по всем счетам главной книги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 10-го числа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Главная книга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 число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Квартальный отчет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 20-го числа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Фактические расходы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 число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Проверка балансовых счетов с главной книгой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 10-го числа</w:t>
            </w:r>
          </w:p>
        </w:tc>
      </w:tr>
      <w:tr>
        <w:trPr>
          <w:trHeight w:val="373" w:hRule="auto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Инвентарная карточка учета основных средств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 мере поступления ОС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Опись инвентарных карточек по учету основных средств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31.12.2018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Отчет по НДФЛ (годовая)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 31.03.2019</w:t>
            </w:r>
          </w:p>
        </w:tc>
      </w:tr>
      <w:tr>
        <w:trPr>
          <w:trHeight w:val="1" w:hRule="atLeast"/>
          <w:jc w:val="left"/>
        </w:trPr>
        <w:tc>
          <w:tcPr>
            <w:tcW w:w="6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</w:t>
            </w:r>
          </w:p>
        </w:tc>
        <w:tc>
          <w:tcPr>
            <w:tcW w:w="50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Расходное расписание</w:t>
            </w:r>
          </w:p>
        </w:tc>
        <w:tc>
          <w:tcPr>
            <w:tcW w:w="23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Начальник отдела обслуживания</w:t>
            </w:r>
          </w:p>
        </w:tc>
        <w:tc>
          <w:tcPr>
            <w:tcW w:w="20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 заявкам</w:t>
            </w:r>
          </w:p>
        </w:tc>
      </w:tr>
    </w:tbl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  <w:t xml:space="preserve">Приложение №5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к распоряжению</w:t>
      </w:r>
    </w:p>
    <w:p>
      <w:pPr>
        <w:spacing w:before="0" w:after="200" w:line="240"/>
        <w:ind w:right="22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Апраксинского сельского поселения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от От28.02.2020. №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FFFFFF" w:val="clear"/>
        </w:rPr>
      </w:pPr>
      <w:r>
        <w:object w:dxaOrig="9374" w:dyaOrig="1224">
          <v:rect xmlns:o="urn:schemas-microsoft-com:office:office" xmlns:v="urn:schemas-microsoft-com:vml" id="rectole0000000000" style="width:468.700000pt;height:61.2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10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РАБОЧИЙ ПЛАН СЧЕТОВ БЮДЖЕТНОГО УЧЕТА</w:t>
      </w:r>
    </w:p>
    <w:p>
      <w:pPr>
        <w:tabs>
          <w:tab w:val="left" w:pos="709" w:leader="none"/>
          <w:tab w:val="left" w:pos="851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tabs>
          <w:tab w:val="left" w:pos="907" w:leader="none"/>
        </w:tabs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-2"/>
          <w:position w:val="0"/>
          <w:sz w:val="22"/>
          <w:shd w:fill="FFFFFF" w:val="clear"/>
        </w:rPr>
      </w:pPr>
    </w:p>
    <w:tbl>
      <w:tblPr>
        <w:tblInd w:w="40" w:type="dxa"/>
      </w:tblPr>
      <w:tblGrid>
        <w:gridCol w:w="3442"/>
        <w:gridCol w:w="576"/>
        <w:gridCol w:w="610"/>
        <w:gridCol w:w="1757"/>
        <w:gridCol w:w="645"/>
        <w:gridCol w:w="683"/>
        <w:gridCol w:w="722"/>
        <w:gridCol w:w="3140"/>
        <w:gridCol w:w="764"/>
        <w:gridCol w:w="808"/>
        <w:gridCol w:w="856"/>
        <w:gridCol w:w="1355"/>
        <w:gridCol w:w="906"/>
        <w:gridCol w:w="958"/>
        <w:gridCol w:w="1014"/>
        <w:gridCol w:w="1074"/>
        <w:gridCol w:w="1136"/>
      </w:tblGrid>
      <w:tr>
        <w:trPr>
          <w:trHeight w:val="26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Наименование счета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Номер счета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Наименование счета</w:t>
            </w: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2"/>
                <w:shd w:fill="FFFFFF" w:val="clear"/>
              </w:rPr>
              <w:t xml:space="preserve">Номер счета</w:t>
            </w:r>
          </w:p>
        </w:tc>
      </w:tr>
      <w:tr>
        <w:trPr>
          <w:trHeight w:val="252" w:hRule="auto"/>
          <w:jc w:val="left"/>
        </w:trPr>
        <w:tc>
          <w:tcPr>
            <w:tcW w:w="18236" w:type="dxa"/>
            <w:gridSpan w:val="1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Основные средства</w:t>
            </w:r>
          </w:p>
        </w:tc>
      </w:tr>
      <w:tr>
        <w:trPr>
          <w:trHeight w:val="106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жилых помещений 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1 10111310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жилых помещений–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1 10111410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жилых помещений за счет амортизации</w:t>
            </w: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1123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нежилых помещений–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1 10112310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25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нежилых помещений–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1 10112410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нежилых помещений за счет амортизации</w:t>
            </w: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857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сооружений–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1 10113310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39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сооружений–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1 10113410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сооружений за счет амортизации</w:t>
            </w: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1127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транспортных средств–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1 10115310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43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транспортных средств–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1 10115410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транспортных средств за счет амортизации</w:t>
            </w: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1273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прочих основных средств–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1 10118310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1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прочих основных средств – недвижимого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1 10118410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прочих основных средств за счет амортизации</w:t>
            </w: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1257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жилых помещений – иного  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1 10131310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1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жилых помещений–иного 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1 10131410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жилых помещений за счет амортизации</w:t>
            </w: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991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нежилых помещений– иного 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1 10132310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1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нежилых помещений– иного 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1 10132410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нежилых помещений за счет амортизации</w:t>
            </w: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1292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сооружений– иного 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1 10133310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1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сооружений– иного 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1 10133410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сооружений за счет амортизации</w:t>
            </w: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991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машин и оборудования– иного движимого имущества учреждения</w:t>
            </w:r>
          </w:p>
        </w:tc>
        <w:tc>
          <w:tcPr>
            <w:tcW w:w="4271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1 10134310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89" w:type="dxa"/>
            <w:gridSpan w:val="5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04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машин и оборудования –иного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1 10134410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2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машин и оборудования за счет амортизации</w:t>
            </w: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1 10404410</w:t>
            </w:r>
          </w:p>
        </w:tc>
      </w:tr>
      <w:tr>
        <w:trPr>
          <w:trHeight w:val="1004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транспортных средств–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1 10135310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04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транспортных средств–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1 10135410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транспортных средств за счет амортизации</w:t>
            </w: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1386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1 10136310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421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1 10136410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производственного и хозяйственного инвентаря за счет амортизации</w:t>
            </w: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1 10406410</w:t>
            </w:r>
          </w:p>
        </w:tc>
      </w:tr>
      <w:tr>
        <w:trPr>
          <w:trHeight w:val="987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 библиотечного фонда -иного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1 10137310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08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библиотечного фонда-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1 10137410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08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прочих основных средств–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1 10138310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08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прочих основных средств 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1 10138410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прочих основных средств за счет амортизации</w:t>
            </w: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1 10402410</w:t>
            </w:r>
          </w:p>
        </w:tc>
      </w:tr>
      <w:tr>
        <w:trPr>
          <w:trHeight w:val="252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Нематериальные активы</w:t>
            </w:r>
          </w:p>
        </w:tc>
      </w:tr>
      <w:tr>
        <w:trPr>
          <w:trHeight w:val="997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стоимости нематериальных активов 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1 10230320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83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стоимости нематериальных активов 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1 10230420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нематериальных активов за счет амортизации</w:t>
            </w: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1 10439420</w:t>
            </w:r>
          </w:p>
        </w:tc>
      </w:tr>
      <w:tr>
        <w:trPr>
          <w:trHeight w:val="252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Материальные запасы</w:t>
            </w:r>
          </w:p>
        </w:tc>
      </w:tr>
      <w:tr>
        <w:trPr>
          <w:trHeight w:val="1430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стоимости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медикаментов и перевязочных средств –иного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1 10531340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71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</w:t>
            </w:r>
          </w:p>
          <w:p>
            <w:pPr>
              <w:spacing w:before="0" w:after="200" w:line="240"/>
              <w:ind w:right="100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медикаментов и перевязочных средств –иного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1 10531440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85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стоимости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продуктов питания –иного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1 10532340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2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</w:t>
            </w:r>
          </w:p>
          <w:p>
            <w:pPr>
              <w:spacing w:before="0" w:after="200" w:line="240"/>
              <w:ind w:right="100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продуктов питания –иного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1 10532440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23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стоимости горюче-смазочных материалов –иного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1 10533340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63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</w:t>
            </w:r>
          </w:p>
          <w:p>
            <w:pPr>
              <w:spacing w:before="0" w:after="200" w:line="240"/>
              <w:ind w:right="100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горюче-смазочных материалов –иного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1 10533440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31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стоимости строительных материалов–иного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1 10534340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425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</w:t>
            </w:r>
          </w:p>
          <w:p>
            <w:pPr>
              <w:spacing w:before="0" w:after="200" w:line="240"/>
              <w:ind w:right="100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строительных материалов –иного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1 10534440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0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6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стоимости мягкого инвентаря-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1 10535340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4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мягкого инвентаря-иного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1 10535440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35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6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1 10536340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97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1 10536440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85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6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стоимости готовой продукции -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1 10536340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0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стоимости готовой продукции -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1 10536440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2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Капитальные вложения в основные средства</w:t>
            </w:r>
          </w:p>
        </w:tc>
      </w:tr>
      <w:tr>
        <w:trPr>
          <w:trHeight w:val="117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3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капитальных вложений в основные средства – недвижимого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1 10611310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8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капитальных вложений в основные средства - недвижимого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1 10611410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42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3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капитальных вложений в основные средства – недвижимого имущества учреждения. Капитальное строительство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1 106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КС310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840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капитальных вложений в основные средства - недвижимого имущества учреждения. Капитальное строительство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1 106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КС410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55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3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капитальных вложений в основные средства 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1 10631310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31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капитальных вложений в основные средства 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1 10631410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33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3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капитальных вложений в нематериальные активы 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1 10632310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50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капитальных вложений в нематериальные активы– иного движимого имущества учреждения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1 10632410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2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Денежные средства учреждения</w:t>
            </w:r>
          </w:p>
        </w:tc>
      </w:tr>
      <w:tr>
        <w:trPr>
          <w:trHeight w:val="1013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Поступление денежных средств учреждения на счета в кредитной организации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11"/>
                <w:position w:val="0"/>
                <w:sz w:val="22"/>
                <w:shd w:fill="FFFFFF" w:val="clear"/>
              </w:rPr>
              <w:t xml:space="preserve">1 20121510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Поступление в кассу</w:t>
            </w: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1 20134510</w:t>
            </w:r>
          </w:p>
        </w:tc>
      </w:tr>
      <w:tr>
        <w:trPr>
          <w:trHeight w:val="713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0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Выбытие денежных средств учреждения со счетов в кредитной организации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 1 20121610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Выбытие из кассы</w:t>
            </w: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1 20134610</w:t>
            </w:r>
          </w:p>
        </w:tc>
      </w:tr>
      <w:tr>
        <w:trPr>
          <w:trHeight w:val="1271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Поступление денежных средств учреждения счета в кредитной организации в пути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1 20123510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61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50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2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Выбытие денежных средств учреждения счета в кредитной организации в пути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11"/>
                <w:position w:val="0"/>
                <w:sz w:val="22"/>
                <w:shd w:fill="FFFFFF" w:val="clear"/>
              </w:rPr>
              <w:t xml:space="preserve">20123610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5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50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Поступление денежных средств учреждения на лицевые счета в органе казначейства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1 20111510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Поступление денежных средств учреждения на лицевые счета в органе казначейства в пути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1 20113510</w:t>
            </w:r>
          </w:p>
        </w:tc>
      </w:tr>
      <w:tr>
        <w:trPr>
          <w:trHeight w:val="950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Выбытие денежных средств учреждения на лицевые счета в органе казначейства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1 20111610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Выбытие денежных средств учреждения на лицевые счета в органе казначейства в пути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1 20113610</w:t>
            </w:r>
          </w:p>
        </w:tc>
      </w:tr>
      <w:tr>
        <w:trPr>
          <w:trHeight w:val="252" w:hRule="auto"/>
          <w:jc w:val="left"/>
        </w:trPr>
        <w:tc>
          <w:tcPr>
            <w:tcW w:w="15358" w:type="dxa"/>
            <w:gridSpan w:val="1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с дебиторами по доходам</w:t>
            </w:r>
          </w:p>
        </w:tc>
      </w:tr>
      <w:tr>
        <w:trPr>
          <w:trHeight w:val="1153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7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 доходам от собственности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1 20521560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расчетам с плательщиками прочих доходов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(*)20581560</w:t>
            </w:r>
          </w:p>
        </w:tc>
      </w:tr>
      <w:tr>
        <w:trPr>
          <w:trHeight w:val="985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9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 задолженности по доходам от собственности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1 20521660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 по расчетам с плательщиками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прочих доходов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(*)20581660</w:t>
            </w:r>
          </w:p>
        </w:tc>
      </w:tr>
      <w:tr>
        <w:trPr>
          <w:trHeight w:val="1127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7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 расчетам по поступлениям от других бюджетов БС РФ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1 20551560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56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9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 задолженности по расчетам по поступлениям от других бюджетов БС РФ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1 20551660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9" w:hRule="auto"/>
          <w:jc w:val="left"/>
        </w:trPr>
        <w:tc>
          <w:tcPr>
            <w:tcW w:w="15358" w:type="dxa"/>
            <w:gridSpan w:val="1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выданным авансам</w:t>
            </w:r>
          </w:p>
        </w:tc>
      </w:tr>
      <w:tr>
        <w:trPr>
          <w:trHeight w:val="929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услуги связи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(*)20621560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8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 выданным авансам за транспортные услуги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1 20622560</w:t>
            </w:r>
          </w:p>
        </w:tc>
      </w:tr>
      <w:tr>
        <w:trPr>
          <w:trHeight w:val="93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услуги связи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(*)20621660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0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 задолженности по выданным авансам за транспортные услуги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1 20622660</w:t>
            </w:r>
          </w:p>
        </w:tc>
      </w:tr>
      <w:tr>
        <w:trPr>
          <w:trHeight w:val="116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коммунальные услуги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(*)20623560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7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 выданным авансам за услуги по содержанию имущества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(*)20625560</w:t>
            </w:r>
          </w:p>
        </w:tc>
      </w:tr>
      <w:tr>
        <w:trPr>
          <w:trHeight w:val="116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коммунальные услуги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(*)20623660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69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 задолженности по выданным авансам за услуги по содержанию имущества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(*)20625660</w:t>
            </w:r>
          </w:p>
        </w:tc>
      </w:tr>
      <w:tr>
        <w:trPr>
          <w:trHeight w:val="943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прочие услуги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(*)20626560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прочим расходам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(*)20629560</w:t>
            </w:r>
          </w:p>
        </w:tc>
      </w:tr>
      <w:tr>
        <w:trPr>
          <w:trHeight w:val="93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прочие услуги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(*)20626660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прочим расходам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(*)20629660</w:t>
            </w:r>
          </w:p>
        </w:tc>
      </w:tr>
      <w:tr>
        <w:trPr>
          <w:trHeight w:val="116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приобретение основных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средств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1 20631560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приобретение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нематериальных активов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1 20632560</w:t>
            </w:r>
          </w:p>
        </w:tc>
      </w:tr>
      <w:tr>
        <w:trPr>
          <w:trHeight w:val="1174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приобретение основных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средств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1 20631660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приобретение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нематериальных активов</w:t>
            </w: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1 20632660</w:t>
            </w:r>
          </w:p>
        </w:tc>
      </w:tr>
      <w:tr>
        <w:trPr>
          <w:trHeight w:val="1166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приобретение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материальных запасов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(*)20634560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'</w:t>
            </w:r>
          </w:p>
        </w:tc>
      </w:tr>
      <w:tr>
        <w:trPr>
          <w:trHeight w:val="1174" w:hRule="auto"/>
          <w:jc w:val="left"/>
        </w:trPr>
        <w:tc>
          <w:tcPr>
            <w:tcW w:w="34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выданным авансам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приобретение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материальных запасов</w:t>
            </w:r>
          </w:p>
        </w:tc>
        <w:tc>
          <w:tcPr>
            <w:tcW w:w="2943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(*)20634660</w:t>
            </w:r>
          </w:p>
        </w:tc>
        <w:tc>
          <w:tcPr>
            <w:tcW w:w="5190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783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4" w:hRule="auto"/>
          <w:jc w:val="left"/>
        </w:trPr>
        <w:tc>
          <w:tcPr>
            <w:tcW w:w="15358" w:type="dxa"/>
            <w:gridSpan w:val="1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с подотчетными лицами</w:t>
            </w:r>
          </w:p>
        </w:tc>
      </w:tr>
      <w:tr>
        <w:trPr>
          <w:trHeight w:val="943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подотчетных лиц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оплате услуг связи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1 20821560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0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подотчетных лиц по оплате транспортных услуг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1 20822560</w:t>
            </w:r>
          </w:p>
        </w:tc>
      </w:tr>
      <w:tr>
        <w:trPr>
          <w:trHeight w:val="929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подотчетных лиц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оплате услуг связи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1 20821660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2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 задолженности подотчетных лиц по оплате транспортных услуг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1 20822660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подотчетных лиц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оплате прочих услуг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1 20826560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9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подотчетных лиц по приобретению материалов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1 20834560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подотчетных лиц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оплате прочих услуг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1 20826660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1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 задолженности подотчетных лиц по приобретению материалов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1 20834660</w:t>
            </w:r>
          </w:p>
        </w:tc>
      </w:tr>
      <w:tr>
        <w:trPr>
          <w:trHeight w:val="1147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8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подотчетных лиц по оплате прочих расходов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1 20829560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8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подотчетных лиц по прочим выплатам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1 20812560</w:t>
            </w:r>
          </w:p>
        </w:tc>
      </w:tr>
      <w:tr>
        <w:trPr>
          <w:trHeight w:val="1149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9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 задолженности подотчетных лиц по оплате прочих расходов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1 20829660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9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дебиторской задолженности подотчетных лиц по прочим выплатам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1 20812660</w:t>
            </w:r>
          </w:p>
        </w:tc>
      </w:tr>
      <w:tr>
        <w:trPr>
          <w:trHeight w:val="252" w:hRule="auto"/>
          <w:jc w:val="left"/>
        </w:trPr>
        <w:tc>
          <w:tcPr>
            <w:tcW w:w="19310" w:type="dxa"/>
            <w:gridSpan w:val="16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недостачам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ущербам основным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средствам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1 20971560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8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 ущербам нематериальным активам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1 20972560</w:t>
            </w:r>
          </w:p>
        </w:tc>
      </w:tr>
      <w:tr>
        <w:trPr>
          <w:trHeight w:val="943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Погашение дебиторской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ущербам основным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средствам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1 20971660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9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Погашение дебиторской задолженности по ущербам нематериальным активам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1 20972660</w:t>
            </w:r>
          </w:p>
        </w:tc>
      </w:tr>
      <w:tr>
        <w:trPr>
          <w:trHeight w:val="76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дебиторской задолженности по ущербам материальным запасам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1 20974560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0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6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Погашение дебиторской задолженности по ущербам  материальным запасам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1 20974660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9" w:hRule="auto"/>
          <w:jc w:val="left"/>
        </w:trPr>
        <w:tc>
          <w:tcPr>
            <w:tcW w:w="19310" w:type="dxa"/>
            <w:gridSpan w:val="16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с прочими дебиторами</w:t>
            </w:r>
          </w:p>
        </w:tc>
      </w:tr>
      <w:tr>
        <w:trPr>
          <w:trHeight w:val="1627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4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с финансовым органом по поступившим в бюджет доходам от рыночных продаж товаров, работ, услуг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1 21002130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6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с финансовым органом по поступлениям от других бюджетов бюджетной системы Российской Федерации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1 21002151</w:t>
            </w:r>
          </w:p>
        </w:tc>
      </w:tr>
      <w:tr>
        <w:trPr>
          <w:trHeight w:val="1174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5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с финансовым органом по поступившим в бюджет суммам принудительного изъятия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1 21002140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5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с финансовым органом по поступившим в бюджет прочим доходам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1 21002180</w:t>
            </w:r>
          </w:p>
        </w:tc>
      </w:tr>
      <w:tr>
        <w:trPr>
          <w:trHeight w:val="252" w:hRule="auto"/>
          <w:jc w:val="left"/>
        </w:trPr>
        <w:tc>
          <w:tcPr>
            <w:tcW w:w="19310" w:type="dxa"/>
            <w:gridSpan w:val="16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с поставщиками и подрядчиками</w:t>
            </w:r>
          </w:p>
        </w:tc>
      </w:tr>
      <w:tr>
        <w:trPr>
          <w:trHeight w:val="1195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7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оплате труда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1 30211730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9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с поставщиками и подрядчиками по оплате услуг связи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2"/>
                <w:shd w:fill="FFFFFF" w:val="clear"/>
              </w:rPr>
              <w:t xml:space="preserve">(*) 30221730</w:t>
            </w:r>
          </w:p>
        </w:tc>
      </w:tr>
      <w:tr>
        <w:trPr>
          <w:trHeight w:val="1174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2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оплате труда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1 30211830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5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с поставщиками и подрядчиками по оплате услуг связи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2"/>
                <w:position w:val="0"/>
                <w:sz w:val="22"/>
                <w:shd w:fill="FFFFFF" w:val="clear"/>
              </w:rPr>
              <w:t xml:space="preserve">(*) 30221830</w:t>
            </w:r>
          </w:p>
        </w:tc>
      </w:tr>
      <w:tr>
        <w:trPr>
          <w:trHeight w:val="1166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9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1 30222730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5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с поставщиками и подрядчиками по оплате коммунальных услуг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(*)30223730</w:t>
            </w:r>
          </w:p>
        </w:tc>
      </w:tr>
      <w:tr>
        <w:trPr>
          <w:trHeight w:val="115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1 30222830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4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с поставщиками и подрядчиками по оплате коммунальных услуг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2"/>
                <w:shd w:fill="FFFFFF" w:val="clear"/>
              </w:rPr>
              <w:t xml:space="preserve">(*) 30223830</w:t>
            </w:r>
          </w:p>
        </w:tc>
      </w:tr>
      <w:tr>
        <w:trPr>
          <w:trHeight w:val="115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с поставщиками и подрядчиками по оплате услуг по содержанию имущества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(*)30225830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2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с поставщиками и подрядчиками по оплате прочих услуг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(*)30226830</w:t>
            </w:r>
          </w:p>
        </w:tc>
      </w:tr>
      <w:tr>
        <w:trPr>
          <w:trHeight w:val="115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с поставщиками и подрядчиками по оплате услуг по содержанию имущества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(*)30225830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2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с поставщиками и подрядчиками по оплате прочих услуг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(*)30226830</w:t>
            </w:r>
          </w:p>
        </w:tc>
      </w:tr>
      <w:tr>
        <w:trPr>
          <w:trHeight w:val="1690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пенсиям, пособиям и выплатам по пенсионному, социальному и медицинскому страхованию населения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1 30261730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кредиторской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социальной помощи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населению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1 30262730</w:t>
            </w:r>
          </w:p>
        </w:tc>
      </w:tr>
      <w:tr>
        <w:trPr>
          <w:trHeight w:val="1627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пенсиям, пособиям и выплатам по пенсионному, социальному и медицинскому страхованию населения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130261830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кредиторской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социальной помощи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населению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1 30262830</w:t>
            </w:r>
          </w:p>
        </w:tc>
      </w:tr>
      <w:tr>
        <w:trPr>
          <w:trHeight w:val="2064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кредиторской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пенсиям, пособиям, выплачиваемым организациями сектора гос.управления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1 30263730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627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кредиторской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пенсиям, пособиям, выплачиваемым организациями сектора гос.управления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1 30263830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36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6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прочим расходам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1 30229730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9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приобретению нематериальных активов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1 30232730</w:t>
            </w:r>
          </w:p>
        </w:tc>
      </w:tr>
      <w:tr>
        <w:trPr>
          <w:trHeight w:val="943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8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прочим расходам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1 30229830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9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приобретению нематериальных активов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1 30232830</w:t>
            </w:r>
          </w:p>
        </w:tc>
      </w:tr>
      <w:tr>
        <w:trPr>
          <w:trHeight w:val="1306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Увеличение кредиторской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задолженности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 приобретению основных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средств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1 30231730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приобретению материальных запасов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1 30234730</w:t>
            </w:r>
          </w:p>
        </w:tc>
      </w:tr>
      <w:tr>
        <w:trPr>
          <w:trHeight w:val="107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Уменьшение кредиторской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задолженности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 приобретению основных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средств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1 30231830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приобретению материальных запасов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1 30234830</w:t>
            </w:r>
          </w:p>
        </w:tc>
      </w:tr>
      <w:tr>
        <w:trPr>
          <w:trHeight w:val="266" w:hRule="auto"/>
          <w:jc w:val="left"/>
        </w:trPr>
        <w:tc>
          <w:tcPr>
            <w:tcW w:w="17222" w:type="dxa"/>
            <w:gridSpan w:val="1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в бюджет</w:t>
            </w:r>
          </w:p>
        </w:tc>
      </w:tr>
      <w:tr>
        <w:trPr>
          <w:trHeight w:val="1885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6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налогу на доходы физических лиц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1 30301730</w:t>
            </w:r>
          </w:p>
        </w:tc>
        <w:tc>
          <w:tcPr>
            <w:tcW w:w="5568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7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32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1 30302730</w:t>
            </w:r>
          </w:p>
        </w:tc>
      </w:tr>
      <w:tr>
        <w:trPr>
          <w:trHeight w:val="1842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налогу на доходы физических лиц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1 30301830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0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1 30302830</w:t>
            </w:r>
          </w:p>
        </w:tc>
      </w:tr>
      <w:tr>
        <w:trPr>
          <w:trHeight w:val="1147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8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налогу на прибыль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2 30303730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7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налогу на добавленную стоимость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2 30304730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налогу на прибыль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2 30303830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8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налогу на добавленную стоимость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2 30304830</w:t>
            </w:r>
          </w:p>
        </w:tc>
      </w:tr>
      <w:tr>
        <w:trPr>
          <w:trHeight w:val="1858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7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прочим платежам в бюджет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 30305730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обязательному социальному страхованию от несчастных случаев на производстве и профессиональных заболеваний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1 30306730</w:t>
            </w:r>
          </w:p>
        </w:tc>
      </w:tr>
      <w:tr>
        <w:trPr>
          <w:trHeight w:val="1850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9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прочим платежам в бюджет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 30305830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обязательному социальному страхованию от несчастных случаев на производстве и профессиональных заболеваний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1 30306830</w:t>
            </w:r>
          </w:p>
        </w:tc>
      </w:tr>
      <w:tr>
        <w:trPr>
          <w:trHeight w:val="989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ОМС в ФФОМС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1 30307730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ОПФ на выплату СЧТП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1 30311730</w:t>
            </w:r>
          </w:p>
        </w:tc>
      </w:tr>
      <w:tr>
        <w:trPr>
          <w:trHeight w:val="989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ОМС в ФФОМС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1 30307830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ОПФ на выплату СЧТП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1 30311830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1131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ОМС в ТФОМС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1 30308730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6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налогу на имущество организаций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1 30312730</w:t>
            </w:r>
          </w:p>
        </w:tc>
      </w:tr>
      <w:tr>
        <w:trPr>
          <w:trHeight w:val="1147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ОМС в ТФОМС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1 30308830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налогу на имущество организаций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1 30312830</w:t>
            </w:r>
          </w:p>
        </w:tc>
      </w:tr>
      <w:tr>
        <w:trPr>
          <w:trHeight w:val="1137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дополнительным страховым взносам на пенсионное страхование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1 30309730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6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земельному налогу 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1 30313730</w:t>
            </w:r>
          </w:p>
        </w:tc>
      </w:tr>
      <w:tr>
        <w:trPr>
          <w:trHeight w:val="1139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дополнительным страховым взносам на пенсионное страхование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1 30309830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земельному налогу 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1 30313830</w:t>
            </w:r>
          </w:p>
        </w:tc>
      </w:tr>
      <w:tr>
        <w:trPr>
          <w:trHeight w:val="844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ОПФ на выплату НЧТП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1 30310730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714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ОПФ на выплату НЧТП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1 30310830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9" w:hRule="auto"/>
          <w:jc w:val="left"/>
        </w:trPr>
        <w:tc>
          <w:tcPr>
            <w:tcW w:w="15358" w:type="dxa"/>
            <w:gridSpan w:val="1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Прочие расчеты с кредиторами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3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1 30401730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5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 задолженности по расчетам с депонентами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1 30402730</w:t>
            </w:r>
          </w:p>
        </w:tc>
      </w:tr>
      <w:tr>
        <w:trPr>
          <w:trHeight w:val="943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8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1 30401830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6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 задолженности по расчетам с депонентами</w:t>
            </w: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1 30402830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Увеличение кредиторской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удержаниям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из заработной платы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1 30403730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3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Уменьшение кредиторской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задолженности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удержаниям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из заработной платы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1 30403830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74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Внутренние расчеты между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главными распорядителями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распорядителями)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 получателями средств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прочим выплатам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1 30404212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'</w:t>
            </w:r>
          </w:p>
        </w:tc>
      </w:tr>
      <w:tr>
        <w:trPr>
          <w:trHeight w:val="1181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Внутренние расчеты между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главными распорядителями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распорядителями)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 получателями средств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прочим услугам</w:t>
            </w:r>
          </w:p>
        </w:tc>
        <w:tc>
          <w:tcPr>
            <w:tcW w:w="3012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1 30404226</w:t>
            </w:r>
          </w:p>
        </w:tc>
        <w:tc>
          <w:tcPr>
            <w:tcW w:w="5309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19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627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Внутренние расчеты между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главными распорядителями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распорядителями)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 получателями средств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прочим расходам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1 30404290</w:t>
            </w:r>
          </w:p>
        </w:tc>
        <w:tc>
          <w:tcPr>
            <w:tcW w:w="3904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Внутренние расчеты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между главными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распорядителями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распорядителями)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 получателями средств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приобретению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основных средств</w:t>
            </w:r>
          </w:p>
        </w:tc>
        <w:tc>
          <w:tcPr>
            <w:tcW w:w="8107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1 30404310</w:t>
            </w:r>
          </w:p>
        </w:tc>
      </w:tr>
      <w:tr>
        <w:trPr>
          <w:trHeight w:val="1397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6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Внутренние расчеты между главными распорядителями (распорядителями) и получателями средств по приобретению нематериальных активов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1 30404320</w:t>
            </w:r>
          </w:p>
        </w:tc>
        <w:tc>
          <w:tcPr>
            <w:tcW w:w="3904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07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90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6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органом, по заработной плате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1 30405211</w:t>
            </w:r>
          </w:p>
        </w:tc>
        <w:tc>
          <w:tcPr>
            <w:tcW w:w="3904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начислениям на оплату труда</w:t>
            </w:r>
          </w:p>
        </w:tc>
        <w:tc>
          <w:tcPr>
            <w:tcW w:w="8107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1 30405213</w:t>
            </w:r>
          </w:p>
        </w:tc>
      </w:tr>
      <w:tr>
        <w:trPr>
          <w:trHeight w:val="115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5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прочим выплатам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1 30405212</w:t>
            </w:r>
          </w:p>
        </w:tc>
        <w:tc>
          <w:tcPr>
            <w:tcW w:w="3904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оплате услуг связи</w:t>
            </w:r>
          </w:p>
        </w:tc>
        <w:tc>
          <w:tcPr>
            <w:tcW w:w="8107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1 30405221</w:t>
            </w:r>
          </w:p>
        </w:tc>
      </w:tr>
      <w:tr>
        <w:trPr>
          <w:trHeight w:val="1174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0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оплате транспортных услуг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1 30405222</w:t>
            </w:r>
          </w:p>
        </w:tc>
        <w:tc>
          <w:tcPr>
            <w:tcW w:w="3904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0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коммунальным платежам</w:t>
            </w:r>
          </w:p>
        </w:tc>
        <w:tc>
          <w:tcPr>
            <w:tcW w:w="8107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1 30405223</w:t>
            </w:r>
          </w:p>
        </w:tc>
      </w:tr>
      <w:tr>
        <w:trPr>
          <w:trHeight w:val="1404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4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оплате услуг по содержанию помещения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1 30405225</w:t>
            </w:r>
          </w:p>
        </w:tc>
        <w:tc>
          <w:tcPr>
            <w:tcW w:w="3904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оплате прочих услуг</w:t>
            </w:r>
          </w:p>
        </w:tc>
        <w:tc>
          <w:tcPr>
            <w:tcW w:w="8107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1 30405226</w:t>
            </w:r>
          </w:p>
        </w:tc>
      </w:tr>
      <w:tr>
        <w:trPr>
          <w:trHeight w:val="2779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безвозмездным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 безвозвратным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перечислениям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государственным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 муниципальным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организациям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1 30405241</w:t>
            </w:r>
          </w:p>
        </w:tc>
        <w:tc>
          <w:tcPr>
            <w:tcW w:w="3904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69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безвозмездным и безвозвратным перечислениям государственным и муниципальным организациям, за исключением государственных и муниципальных организаций</w:t>
            </w:r>
          </w:p>
        </w:tc>
        <w:tc>
          <w:tcPr>
            <w:tcW w:w="8107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1 30405242</w:t>
            </w:r>
          </w:p>
        </w:tc>
      </w:tr>
      <w:tr>
        <w:trPr>
          <w:trHeight w:val="1865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4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органом, по перечислениям другим бюджетам бюджетной системы Российской Федерации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1 30405251</w:t>
            </w:r>
          </w:p>
        </w:tc>
        <w:tc>
          <w:tcPr>
            <w:tcW w:w="3904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69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органом, по перечислениям наднациональным организациям и правительствам иностранных государств</w:t>
            </w:r>
          </w:p>
        </w:tc>
        <w:tc>
          <w:tcPr>
            <w:tcW w:w="8107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1 30405252</w:t>
            </w:r>
          </w:p>
        </w:tc>
      </w:tr>
      <w:tr>
        <w:trPr>
          <w:trHeight w:val="1426" w:hRule="auto"/>
          <w:jc w:val="left"/>
        </w:trPr>
        <w:tc>
          <w:tcPr>
            <w:tcW w:w="4628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4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прочим расходам</w:t>
            </w:r>
          </w:p>
        </w:tc>
        <w:tc>
          <w:tcPr>
            <w:tcW w:w="3807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1 30405290</w:t>
            </w:r>
          </w:p>
        </w:tc>
        <w:tc>
          <w:tcPr>
            <w:tcW w:w="3904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8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приобретению основных средств</w:t>
            </w:r>
          </w:p>
        </w:tc>
        <w:tc>
          <w:tcPr>
            <w:tcW w:w="8107" w:type="dxa"/>
            <w:gridSpan w:val="8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1 30405310</w:t>
            </w:r>
          </w:p>
        </w:tc>
      </w:tr>
      <w:tr>
        <w:trPr>
          <w:trHeight w:val="1411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7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органом, по приобретению нематериальных активов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1 30405320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4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Расчеты по платежам из бюджета с финансовым органом по приобретению материальных запасов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1 30405340</w:t>
            </w:r>
          </w:p>
        </w:tc>
      </w:tr>
      <w:tr>
        <w:trPr>
          <w:trHeight w:val="252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Финансовый результат учреждения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Доходы от собственности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10"/>
                <w:position w:val="0"/>
                <w:sz w:val="22"/>
                <w:shd w:fill="FFFFFF" w:val="clear"/>
              </w:rPr>
              <w:t xml:space="preserve">40110130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Доходы от поступлений от других бюджетов бюджетной системы Российской Федерации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1 40110151</w:t>
            </w:r>
          </w:p>
        </w:tc>
      </w:tr>
      <w:tr>
        <w:trPr>
          <w:trHeight w:val="468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3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Доходы от сумм принудительного изъятия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1 40110140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2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Доходы от реализации активов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11"/>
                <w:position w:val="0"/>
                <w:sz w:val="22"/>
                <w:shd w:fill="FFFFFF" w:val="clear"/>
              </w:rPr>
              <w:t xml:space="preserve">40110172</w:t>
            </w:r>
          </w:p>
        </w:tc>
      </w:tr>
      <w:tr>
        <w:trPr>
          <w:trHeight w:val="468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8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Доходы от переоценки активов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13"/>
                <w:position w:val="0"/>
                <w:sz w:val="22"/>
                <w:shd w:fill="FFFFFF" w:val="clear"/>
              </w:rPr>
              <w:t xml:space="preserve">40110171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Прочие доходы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(*)40110180</w:t>
            </w:r>
          </w:p>
        </w:tc>
      </w:tr>
      <w:tr>
        <w:trPr>
          <w:trHeight w:val="475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3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по заработной плате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1 40120211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8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по прочим выплатам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1 40120212</w:t>
            </w:r>
          </w:p>
        </w:tc>
      </w:tr>
      <w:tr>
        <w:trPr>
          <w:trHeight w:val="475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2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начисления на оплату труда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1 40120213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услуги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связи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(*)40120221</w:t>
            </w:r>
          </w:p>
        </w:tc>
      </w:tr>
      <w:tr>
        <w:trPr>
          <w:trHeight w:val="475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0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транспортные услуги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1 40120222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коммунальные платежи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(*)40120223</w:t>
            </w:r>
          </w:p>
        </w:tc>
      </w:tr>
      <w:tr>
        <w:trPr>
          <w:trHeight w:val="475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услуги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 содержанию имущества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(*)40120225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32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прочие услуги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(*)40120226</w:t>
            </w:r>
          </w:p>
        </w:tc>
      </w:tr>
      <w:tr>
        <w:trPr>
          <w:trHeight w:val="1627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безвозмездные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 безвозвратные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перечисления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государственным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 муниципальным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организациям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auto"/>
                <w:spacing w:val="19"/>
                <w:position w:val="0"/>
                <w:sz w:val="22"/>
                <w:shd w:fill="FFFFFF" w:val="clear"/>
              </w:rPr>
              <w:t xml:space="preserve">40120241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9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безвозмездные и безвозвратные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1 40120242</w:t>
            </w:r>
          </w:p>
        </w:tc>
      </w:tr>
      <w:tr>
        <w:trPr>
          <w:trHeight w:val="1159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2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перечисления другим бюджетам бюджетной системы Российской Федерации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1 40120251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2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перечисления наднациональным организациям и правительствам иностранных государств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1 40120252</w:t>
            </w:r>
          </w:p>
        </w:tc>
      </w:tr>
      <w:tr>
        <w:trPr>
          <w:trHeight w:val="713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5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на амортизацию основных средств и нематериальных активов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1 40120271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Прочие расходы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(*)40120290</w:t>
            </w:r>
          </w:p>
        </w:tc>
      </w:tr>
      <w:tr>
        <w:trPr>
          <w:trHeight w:val="475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Расходование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материальных запасов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1 40120272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9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Финансовый результат прошлых отчетных периодов</w:t>
            </w:r>
          </w:p>
        </w:tc>
      </w:tr>
      <w:tr>
        <w:trPr>
          <w:trHeight w:val="70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3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Финансовый результат прошлых отчетных периодов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(*)40130000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7" w:hRule="auto"/>
          <w:jc w:val="left"/>
          <w:cantSplit w:val="1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Доходы будущих периодов</w:t>
            </w:r>
          </w:p>
        </w:tc>
      </w:tr>
      <w:tr>
        <w:trPr>
          <w:trHeight w:val="70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3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Доходы будущих периодов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 40140000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42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будущих периодов</w:t>
            </w:r>
          </w:p>
        </w:tc>
      </w:tr>
      <w:tr>
        <w:trPr>
          <w:trHeight w:val="70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23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Расходы будущих периодов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(*) 40150000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59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</w:t>
            </w:r>
          </w:p>
        </w:tc>
      </w:tr>
      <w:tr>
        <w:trPr>
          <w:trHeight w:val="116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7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заработной платы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1 50103211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9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на прочие выплаты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1 50103212</w:t>
            </w:r>
          </w:p>
        </w:tc>
      </w:tr>
      <w:tr>
        <w:trPr>
          <w:trHeight w:val="1404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обязательств получателей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бюджетных средств по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расходам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за счет начислений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на оплату труда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1 50103213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99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услуг связи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1 50103221</w:t>
            </w:r>
          </w:p>
        </w:tc>
      </w:tr>
      <w:tr>
        <w:trPr>
          <w:trHeight w:val="1181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0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получателя бюджетных средств по расходам за счет транспортных услуг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1 50103222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5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коммунальных услуг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1 50103223</w:t>
            </w:r>
          </w:p>
        </w:tc>
      </w:tr>
      <w:tr>
        <w:trPr>
          <w:trHeight w:val="1174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услуг по содержанию имущества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1 50103225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2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прочих услуг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1 50103226</w:t>
            </w:r>
          </w:p>
        </w:tc>
      </w:tr>
      <w:tr>
        <w:trPr>
          <w:trHeight w:val="2304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1 50103241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2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безвозмездных и безвозвратных перечислений организациям,за исключением государственных и муниципальных организаций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1 50103242</w:t>
            </w:r>
          </w:p>
        </w:tc>
      </w:tr>
      <w:tr>
        <w:trPr>
          <w:trHeight w:val="1858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1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1 50103251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7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перечислений наднациональным организациям и правительствам иностранных государств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1 50103252</w:t>
            </w:r>
          </w:p>
        </w:tc>
      </w:tr>
      <w:tr>
        <w:trPr>
          <w:trHeight w:val="1390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0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прочих расходов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1 50103290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0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приобретения основных средств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1 50103310</w:t>
            </w:r>
          </w:p>
        </w:tc>
      </w:tr>
      <w:tr>
        <w:trPr>
          <w:trHeight w:val="1404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7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приобретения нематериальных активов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1 50103320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0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Лимиты бюджетных обязательств получателей бюджетных средств по расходам за счет приобретения материальных запасов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1 50101340</w:t>
            </w:r>
          </w:p>
        </w:tc>
      </w:tr>
      <w:tr>
        <w:trPr>
          <w:trHeight w:val="259" w:hRule="auto"/>
          <w:jc w:val="left"/>
        </w:trPr>
        <w:tc>
          <w:tcPr>
            <w:tcW w:w="19310" w:type="dxa"/>
            <w:gridSpan w:val="16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</w:t>
            </w:r>
          </w:p>
        </w:tc>
      </w:tr>
      <w:tr>
        <w:trPr>
          <w:trHeight w:val="929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заработной платы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1 50115211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7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прочих выплат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1 50115212</w:t>
            </w:r>
          </w:p>
        </w:tc>
      </w:tr>
      <w:tr>
        <w:trPr>
          <w:trHeight w:val="943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6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начислений на оплату труда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1 50115213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7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4"/>
                <w:shd w:fill="FFFFFF" w:val="clear"/>
              </w:rPr>
              <w:t xml:space="preserve">УСЛУГ СВЯЗИ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1 50115221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транспортных услуг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1 50115222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7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коммунальных услуг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1 50105223</w:t>
            </w:r>
          </w:p>
        </w:tc>
      </w:tr>
      <w:tr>
        <w:trPr>
          <w:trHeight w:val="943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5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транспортных услуг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1 50115225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6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прочих услуг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1 50115226</w:t>
            </w:r>
          </w:p>
        </w:tc>
      </w:tr>
      <w:tr>
        <w:trPr>
          <w:trHeight w:val="2269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Полученные лимиты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бюджетных обязательств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 расходам за счет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безвозмездных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 безвозвратных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перечислений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государственным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и муниципальным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организациям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1 50115241</w:t>
            </w:r>
          </w:p>
        </w:tc>
        <w:tc>
          <w:tcPr>
            <w:tcW w:w="4626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6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безвозмездных и безвозвратных перечислений организациям, за исключением государственных и муниципальных организаций</w:t>
            </w:r>
          </w:p>
        </w:tc>
        <w:tc>
          <w:tcPr>
            <w:tcW w:w="6971" w:type="dxa"/>
            <w:gridSpan w:val="7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1 50115242</w:t>
            </w:r>
          </w:p>
        </w:tc>
      </w:tr>
      <w:tr>
        <w:trPr>
          <w:trHeight w:val="1627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8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1 50115251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06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перечислений наднациональным организациям и правительствам иностранных государств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1 50115252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8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за счет прочих расходов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1 50115290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9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приобретению основных средств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1 50115310</w:t>
            </w:r>
          </w:p>
        </w:tc>
      </w:tr>
      <w:tr>
        <w:trPr>
          <w:trHeight w:val="1159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7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расходам по приобретению нематериальных активов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1 50115320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792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Полученные лимиты бюджетных обязательств по приобретению материальных запасов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1 50115340</w:t>
            </w:r>
          </w:p>
        </w:tc>
      </w:tr>
      <w:tr>
        <w:trPr>
          <w:trHeight w:val="252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9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заработной платы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1 50211211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прочих выплат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1 50211212</w:t>
            </w:r>
          </w:p>
        </w:tc>
      </w:tr>
      <w:tr>
        <w:trPr>
          <w:trHeight w:val="1255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7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начислений на оплату труда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1 50211213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оплаты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услуг связи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1 50211221</w:t>
            </w:r>
          </w:p>
        </w:tc>
      </w:tr>
      <w:tr>
        <w:trPr>
          <w:trHeight w:val="1273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оплаты транспортных услуг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1 50211222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коммунальных услуг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1 50211223</w:t>
            </w:r>
          </w:p>
        </w:tc>
      </w:tr>
      <w:tr>
        <w:trPr>
          <w:trHeight w:val="1547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оплаты услуг по содержанию помещений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1 50211225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оплаты прочих услуг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1 50211226</w:t>
            </w:r>
          </w:p>
        </w:tc>
      </w:tr>
      <w:tr>
        <w:trPr>
          <w:trHeight w:val="2088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1 50211241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6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безвозмездных и безвозвратных перечислений организациям, за исключением государственных и муниципальных организаций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1 50211242</w:t>
            </w:r>
          </w:p>
        </w:tc>
      </w:tr>
      <w:tr>
        <w:trPr>
          <w:trHeight w:val="1642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7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1 50211251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перечислений наднациональным организациям и правительствам иностранных государств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1 50211252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прочих расходов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1 50211290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6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приобретения основных средств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1 50211310</w:t>
            </w:r>
          </w:p>
        </w:tc>
      </w:tr>
      <w:tr>
        <w:trPr>
          <w:trHeight w:val="1188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8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приобретения нематериальных активов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1 50211320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9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бюджетные обязательства текущего года за счет приобретения материальных запасов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1 50211340</w:t>
            </w:r>
          </w:p>
        </w:tc>
      </w:tr>
      <w:tr>
        <w:trPr>
          <w:trHeight w:val="252" w:hRule="auto"/>
          <w:jc w:val="left"/>
        </w:trPr>
        <w:tc>
          <w:tcPr>
            <w:tcW w:w="16264" w:type="dxa"/>
            <w:gridSpan w:val="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95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заработной платы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1 50212211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прочих выплат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1 50212212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7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начислений на оплату труда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1 50212213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оплаты</w:t>
            </w:r>
          </w:p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услуг связи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1 50212221</w:t>
            </w:r>
          </w:p>
        </w:tc>
      </w:tr>
      <w:tr>
        <w:trPr>
          <w:trHeight w:val="943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8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оплаты транспортных услуг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1 50212222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7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коммунальных услуг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1 50212223</w:t>
            </w:r>
          </w:p>
        </w:tc>
      </w:tr>
      <w:tr>
        <w:trPr>
          <w:trHeight w:val="116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оплаты услуг по содержанию помещений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1 50212225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90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оплаты прочих услуг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1 50212226</w:t>
            </w:r>
          </w:p>
        </w:tc>
      </w:tr>
      <w:tr>
        <w:trPr>
          <w:trHeight w:val="2088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1 50212241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6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безвозмездных и безвозвратных перечислений организациям, за исключением государственных и муниципальных организаций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1 50212242</w:t>
            </w:r>
          </w:p>
        </w:tc>
      </w:tr>
      <w:tr>
        <w:trPr>
          <w:trHeight w:val="1642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7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1 50212251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1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перечислений наднациональным организациям и правительствам иностранных государств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1 50212252</w:t>
            </w:r>
          </w:p>
        </w:tc>
      </w:tr>
      <w:tr>
        <w:trPr>
          <w:trHeight w:val="936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181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прочих расходов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1 50212290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64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приобретения основных средств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1 50212310</w:t>
            </w:r>
          </w:p>
        </w:tc>
      </w:tr>
      <w:tr>
        <w:trPr>
          <w:trHeight w:val="1188" w:hRule="auto"/>
          <w:jc w:val="left"/>
        </w:trPr>
        <w:tc>
          <w:tcPr>
            <w:tcW w:w="4018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108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приобретения нематериальных активов</w:t>
            </w:r>
          </w:p>
        </w:tc>
        <w:tc>
          <w:tcPr>
            <w:tcW w:w="3695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1 50212320</w:t>
            </w:r>
          </w:p>
        </w:tc>
        <w:tc>
          <w:tcPr>
            <w:tcW w:w="5434" w:type="dxa"/>
            <w:gridSpan w:val="4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40"/>
              <w:ind w:right="893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Принятые денежные обязательства текущего года за счет приобретения материальных запасов</w:t>
            </w:r>
          </w:p>
        </w:tc>
        <w:tc>
          <w:tcPr>
            <w:tcW w:w="3117" w:type="dxa"/>
            <w:gridSpan w:val="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auto" w:fill="ffffff" w:val="clear"/>
            <w:tcMar>
              <w:left w:w="40" w:type="dxa"/>
              <w:right w:w="4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FF" w:val="clear"/>
              </w:rPr>
              <w:t xml:space="preserve">1 50212340</w:t>
            </w:r>
          </w:p>
        </w:tc>
      </w:tr>
    </w:tbl>
    <w:p>
      <w:pPr>
        <w:spacing w:before="0" w:after="23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  <w:t xml:space="preserve">Приложение №6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к распоряжеию</w:t>
      </w:r>
    </w:p>
    <w:p>
      <w:pPr>
        <w:spacing w:before="0" w:after="200" w:line="240"/>
        <w:ind w:right="22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Апраксинского сельского поселения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от 28.02.2020. №</w:t>
      </w: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tabs>
          <w:tab w:val="left" w:pos="1860" w:leader="none"/>
        </w:tabs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ПЕРЕЧЕНЬ ЖУРНАЛОВ ОПЕРАЦИЙ</w:t>
      </w:r>
    </w:p>
    <w:p>
      <w:pPr>
        <w:tabs>
          <w:tab w:val="left" w:pos="186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86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Журнал операций по счету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Касса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</w:p>
    <w:p>
      <w:pPr>
        <w:tabs>
          <w:tab w:val="left" w:pos="186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Журнал операций с безналичными денежными средствами</w:t>
      </w:r>
    </w:p>
    <w:p>
      <w:pPr>
        <w:tabs>
          <w:tab w:val="left" w:pos="186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Журнал операций расчетов с подотчетными лицами </w:t>
      </w:r>
    </w:p>
    <w:p>
      <w:pPr>
        <w:tabs>
          <w:tab w:val="left" w:pos="186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Журнал операций расчетов с поставщиками и подрядчиками</w:t>
      </w:r>
    </w:p>
    <w:p>
      <w:pPr>
        <w:tabs>
          <w:tab w:val="left" w:pos="186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Журнал операций расчетов с дебиторами по доходам </w:t>
      </w:r>
    </w:p>
    <w:p>
      <w:pPr>
        <w:tabs>
          <w:tab w:val="left" w:pos="186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Журнал операций расчетов по оплате труда</w:t>
      </w:r>
    </w:p>
    <w:p>
      <w:pPr>
        <w:tabs>
          <w:tab w:val="left" w:pos="186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Журнал операций по выбытию и перемещению нефинансовых активов </w:t>
      </w:r>
    </w:p>
    <w:p>
      <w:pPr>
        <w:tabs>
          <w:tab w:val="left" w:pos="186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Журнал по прочим операциям</w:t>
      </w: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  <w:t xml:space="preserve">Приложение №7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к распоряжению</w:t>
      </w:r>
    </w:p>
    <w:p>
      <w:pPr>
        <w:spacing w:before="0" w:after="200" w:line="240"/>
        <w:ind w:right="22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Апраксинского сельского поселения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От28.02.2020. № </w:t>
      </w: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Перечень должностных лиц,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имеющих право на получение наличных денежных средств в подотчет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Глава администрации  сельского поселения– Н.С.Кульчихина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  <w:t xml:space="preserve">Приложение №8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к распоряжению</w:t>
      </w:r>
    </w:p>
    <w:p>
      <w:pPr>
        <w:spacing w:before="0" w:after="200" w:line="240"/>
        <w:ind w:right="22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Апраксинского сельского поселения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от От28.02.2020. №</w:t>
      </w: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FFFFFF" w:val="clear"/>
        </w:rPr>
      </w:pP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ПЕРЕЧЕНЬ ДОЛЖНОСТНЫХ ЛИЦ,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ИМЕЮЩИХ ПРАВО НА ПОЛУЧЕНИЕ ДОВЕРЕННОСТЕЙ</w:t>
      </w:r>
    </w:p>
    <w:p>
      <w:pPr>
        <w:spacing w:before="0" w:after="200" w:line="276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Глава  администрации сельского поселения– Н.С.Кульчихина .</w:t>
      </w:r>
    </w:p>
    <w:p>
      <w:pPr>
        <w:spacing w:before="0" w:after="200" w:line="276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Зам. Главы   администрации сельского поселения – В.Ю.Сорокина </w:t>
      </w:r>
    </w:p>
    <w:p>
      <w:pPr>
        <w:tabs>
          <w:tab w:val="left" w:pos="1480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1152" w:after="200" w:line="240"/>
        <w:ind w:right="7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1152" w:after="200" w:line="240"/>
        <w:ind w:right="7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1152" w:after="200" w:line="240"/>
        <w:ind w:right="7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1152" w:after="200" w:line="240"/>
        <w:ind w:right="7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1152" w:after="200" w:line="240"/>
        <w:ind w:right="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1152" w:after="200" w:line="240"/>
        <w:ind w:right="7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Приложение №9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к распоряжению</w:t>
      </w:r>
    </w:p>
    <w:p>
      <w:pPr>
        <w:spacing w:before="0" w:after="200" w:line="240"/>
        <w:ind w:right="22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Апраксинского сельского поселения</w:t>
      </w:r>
    </w:p>
    <w:p>
      <w:pPr>
        <w:spacing w:before="0" w:after="200" w:line="240"/>
        <w:ind w:right="14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от От28.02.2020. №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10"/>
          <w:position w:val="0"/>
          <w:sz w:val="36"/>
          <w:shd w:fill="auto" w:val="clear"/>
        </w:rPr>
        <w:t xml:space="preserve">Перечень используемых забалансовых счетов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921"/>
        <w:gridCol w:w="8065"/>
      </w:tblGrid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Имущество, полученное в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01.11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Недвижимое имущество в пользовании по договорам безвозмездного пользования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01.12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Недвижимое имущество в пользовании по договорам аренды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01.21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Особо ценное движимое имущество в пользовании по договорам безвозмездного пользования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01.22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Особо ценное движимое имущество в пользовании по договорам аренды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01.31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Иное движимое имущество в пользовании по договорам безвозмездного пользования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01.32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Иное движимое имущество в пользовании по договорам аренды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Материальные ценности на хранении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02.1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 на хранении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02.2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 на хранении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02.3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ОС, не признанные активом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02.4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МЗ, не признанные активом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Бланки строгой отчетности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03.1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Бланки строгой отчетности (в усл. ед.)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Сомнительная задолженность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Материальные ценности, оплаченные по централизованному снабжению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05.1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ОС, НМА, оплаченные по централизованному снабжению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05.2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МЗ, оплаченные по централизованному снабжению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06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Задолженность учащихся и студентов за невозвращенные материальные ценности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07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Награды, призы, кубки и ценные подарки, сувениры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07.1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Ус.ед.) Награды, призы, кубки и ценные подарки, сувениры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07.2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Награды, призы, кубки и ценные подарки, сувениры по стоимости приобретения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08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Путевки неоплаченные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09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Запасные части к транспортным средствам, выданные взамен изношенных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Обеспечение исполнения обязательств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Государственные и муниципальные гарантии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11.1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Государственные гарантии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11.2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Муниципальные гарантии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Спецоборудование для выполнения научно-исследовательских работ по договорам с заказчиками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Экспериментальные устройства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13.1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Экспериментальные устройства ( ОС)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13.2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Экспериментальные устройства ( МЗ)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Расчетные документы, ожидающие исполнения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15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Расчетные документы, не оплаченные в срок из-за отсутствия средств на счете государственного (муниципального)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16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Переплаты пенсий и пособий вследствие неправильного применения законодательства о пенсиях и пособиях, счетных ошибок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17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Поступления денежных средств на счета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17.01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Поступление денежных средств на счета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17.03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Поступление денежных средств в пути на счета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17.06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Поступление денежных средств на специальные счета в кредитной организации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17.07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Поступление денежных средств на счета учреждения в иностранной валюте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17.30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Поступления расчетов с финансовым органом по наличным денежным средствам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17.34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Поступления денежных средств в кассу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Выбытия денежных средств со счетов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18.01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Выбытия денежных средств со счетов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18.03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Выбытие денежных средств в пути на счета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18.06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Выбытие денежных средств со специальных счетов в кредитной организации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18.07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Выбытия денежных средств со счетов учреждения в иностранной валюте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18.30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Выбытия расчетов с финансовым органом по наличным денежным средствам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18.34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Выбытия денежных средств из кассы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19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Невыясненные поступления бюджета прошлых лет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Задолженность, невостребованная кредиторами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средства в эксплуатации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21.20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средства в эксплуатации – особо ценное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21.22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Нежилые помещения (здания и сооружения) – особо ценное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21.24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Машины и оборудование - особо ценное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21.25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Транспортные средства - особо ценное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21.26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Инвентарь производственный и хозяйственный – особо ценное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21.27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Биологические ресурсы – особо ценное движимое имущество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21.28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основные средства - особо ценное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21.30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средства в эксплуатации – иное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21.32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Нежилые помещения (здания и сооружения) – иное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21.33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Инвестиционная недвижимость – иное движимое имущество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21.34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Машины и оборудование - иное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21.35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Транспортные средства - иное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21.36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Инвентарь производственный и хозяйственный – иное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21.37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Биологические ресурсы – иное движимое имущество учреждения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21.38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основные средства - иное движимое имущество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Материальные ценности, полученные по централизованному снабжению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22.1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ОС, полученные по централизованному снабжению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22.2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МЗ, полученные по централизованному снабжению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Периодические издания для пользования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Нефинансовые активы, переданные в доверительное управление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24.10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Недвижимое имущество, переданное в доверительное управление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24.11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средства - недвижимое имущество в доверительном управлении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24.13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НПА - недвижимое имущество в доверительном управлении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24.20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Особо ценное движимое имущество, переданное в доверительное управление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24.21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средства - особо ценное движимое имущество в доверительном управлении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24.22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НМА - особо ценное движимое имущество в доверительном управлении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24.24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 - особо ценное движимое имущество в доверительном управлении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24.30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Иное движимое имущество, переданное в доверительное управление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24.31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средства - иное движимое имущество в доверительном управлении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24.32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НМА - иное движимое имущество в доверительном управлении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24.34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 - иное движимое имущество в доверительном управлении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24.60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Финансовые активы в доверительном управлении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Имущество, переданное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25.10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Недвижимое имущество, переданное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25.11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ОС- недвижимое имущество, переданные в аренду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25.13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НПА - недвижимое имущество, переданные в аренду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25.20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Особо ценное движимое имущество, переданное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25.21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ОС- особо ценное движимое имущество, переданные в аренду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25.22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НМА- особо ценное движимое имущество, переданные в аренду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25.24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МЗ- особо ценное движимое имущество, переданные в аренду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25.30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Иное движимое имущество, переданное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25.31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ОС- иное движимое имущество, переданные в аренду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25.32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НМА- иное движимое имущество, переданные в аренду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25.34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МЗ- иное движимое имущество, переданные в аренду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25.50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Нефинансовые активы, составляющие казну, переданные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25.51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Недвижимое имущество, составляющее казну, переданное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25.52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Движимое имущество, составляющее казну, переданное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25.53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Ценности государственных фондов России, переданные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25.54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Нематериальные активы, составляющие казну, переданные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25.55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Непроизведенные активы, составляющие казну, переданные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25.56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Материальные запасы, составляющие казну, переданные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25.57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активы, составляющие казну, переданные в возмездное пользование (аренду)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26.10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26.11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ОС- недвижимое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26.13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НПА- недвижимое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26.20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Особо ценное 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26.21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ОС- особо ценное 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26.22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НМА- особо ценное 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26.24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 - особо ценное 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26.30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Иное 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26.31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ОС- иное 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26.32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НМА- иное 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26.34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МЗ - иное движимое имущество,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26.50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Нефинансовые активы, составляющие казну, переданные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26.51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Недвижимое имущество, составляющее казну,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26.52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Движимое имущество, составляющее казну, переданное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26.53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Драгоценные металлы и драгоценные камни, составляющие казну, переданные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26.54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Нематериальные активы, составляющие казну, переданные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26.55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Непроизведенные активы, составляющие казну, переданные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26.56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Материальные запасы, составляющие казну, переданные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26.57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активы, составляющие казну, переданные в безвозмездное пользование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27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Материальные ценности, выданные в личное пользование работникам (сотрудникам)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29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Представленные субсидии на приобретение жилья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Расчеты по исполнению денежных обязательств через третьих лиц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31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Акции по номинальной стоимости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40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Активы в управляющих компаниях</w:t>
            </w:r>
          </w:p>
        </w:tc>
      </w:tr>
      <w:tr>
        <w:trPr>
          <w:trHeight w:val="222" w:hRule="auto"/>
          <w:jc w:val="left"/>
        </w:trPr>
        <w:tc>
          <w:tcPr>
            <w:tcW w:w="19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42</w:t>
            </w:r>
          </w:p>
        </w:tc>
        <w:tc>
          <w:tcPr>
            <w:tcW w:w="8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инвестиции, реализуемые организациями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num w:numId="22">
    <w:abstractNumId w:val="66"/>
  </w:num>
  <w:num w:numId="24">
    <w:abstractNumId w:val="60"/>
  </w:num>
  <w:num w:numId="27">
    <w:abstractNumId w:val="54"/>
  </w:num>
  <w:num w:numId="31">
    <w:abstractNumId w:val="48"/>
  </w:num>
  <w:num w:numId="36">
    <w:abstractNumId w:val="42"/>
  </w:num>
  <w:num w:numId="41">
    <w:abstractNumId w:val="36"/>
  </w:num>
  <w:num w:numId="43">
    <w:abstractNumId w:val="30"/>
  </w:num>
  <w:num w:numId="45">
    <w:abstractNumId w:val="24"/>
  </w:num>
  <w:num w:numId="51">
    <w:abstractNumId w:val="18"/>
  </w:num>
  <w:num w:numId="54">
    <w:abstractNumId w:val="12"/>
  </w:num>
  <w:num w:numId="84">
    <w:abstractNumId w:val="6"/>
  </w:num>
  <w:num w:numId="9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styles.xml" Id="docRId13" Type="http://schemas.openxmlformats.org/officeDocument/2006/relationships/styles"/><Relationship TargetMode="External" Target="https://www.referent.ru/1/287160" Id="docRId3" Type="http://schemas.openxmlformats.org/officeDocument/2006/relationships/hyperlink"/><Relationship TargetMode="External" Target="https://www.referent.ru/1/310350?l85" Id="docRId7" Type="http://schemas.openxmlformats.org/officeDocument/2006/relationships/hyperlink"/><Relationship Target="embeddings/oleObject0.bin" Id="docRId10" Type="http://schemas.openxmlformats.org/officeDocument/2006/relationships/oleObject"/><Relationship TargetMode="External" Target="https://www.referent.ru/1/287356" Id="docRId2" Type="http://schemas.openxmlformats.org/officeDocument/2006/relationships/hyperlink"/><Relationship TargetMode="External" Target="https://www.referent.ru/1/313414" Id="docRId6" Type="http://schemas.openxmlformats.org/officeDocument/2006/relationships/hyperlink"/><Relationship TargetMode="External" Target="https://www.referent.ru/1/287355?l202" Id="docRId1" Type="http://schemas.openxmlformats.org/officeDocument/2006/relationships/hyperlink"/><Relationship Target="media/image0.wmf" Id="docRId11" Type="http://schemas.openxmlformats.org/officeDocument/2006/relationships/image"/><Relationship TargetMode="External" Target="https://www.referent.ru/1/313415" Id="docRId5" Type="http://schemas.openxmlformats.org/officeDocument/2006/relationships/hyperlink"/><Relationship TargetMode="External" Target="https://www.audit-it.ru/terms/accounting/amortization.html" Id="docRId9" Type="http://schemas.openxmlformats.org/officeDocument/2006/relationships/hyperlink"/><Relationship TargetMode="External" Target="https://www.referent.ru/1/287159" Id="docRId0" Type="http://schemas.openxmlformats.org/officeDocument/2006/relationships/hyperlink"/><Relationship Target="numbering.xml" Id="docRId12" Type="http://schemas.openxmlformats.org/officeDocument/2006/relationships/numbering"/><Relationship TargetMode="External" Target="https://www.referent.ru/1/287357?l175" Id="docRId4" Type="http://schemas.openxmlformats.org/officeDocument/2006/relationships/hyperlink"/><Relationship TargetMode="External" Target="https://www.referent.ru/1/313405" Id="docRId8" Type="http://schemas.openxmlformats.org/officeDocument/2006/relationships/hyperlink"/></Relationships>
</file>