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4E4" w:rsidRPr="0060377C" w:rsidRDefault="0060377C" w:rsidP="0060377C">
      <w:pPr>
        <w:ind w:firstLine="284"/>
        <w:jc w:val="both"/>
        <w:rPr>
          <w:rFonts w:ascii="Times New Roman" w:hAnsi="Times New Roman"/>
          <w:szCs w:val="24"/>
        </w:rPr>
      </w:pPr>
      <w:r w:rsidRPr="0060377C">
        <w:rPr>
          <w:rFonts w:ascii="Times New Roman" w:hAnsi="Times New Roman"/>
          <w:szCs w:val="24"/>
        </w:rPr>
        <w:t xml:space="preserve">Интерфакс, 26.10.2020, 12:41, Законопроект о </w:t>
      </w:r>
      <w:r w:rsidRPr="0060377C">
        <w:rPr>
          <w:rFonts w:ascii="Times New Roman" w:hAnsi="Times New Roman"/>
          <w:szCs w:val="24"/>
        </w:rPr>
        <w:t xml:space="preserve">расширении для НПФ возможности инвестирования </w:t>
      </w:r>
      <w:r w:rsidRPr="0060377C">
        <w:rPr>
          <w:rFonts w:ascii="Times New Roman" w:hAnsi="Times New Roman"/>
          <w:szCs w:val="24"/>
        </w:rPr>
        <w:t>пенсионных накоплений внесен в Госдуму</w:t>
      </w:r>
    </w:p>
    <w:p w:rsidR="002944E4" w:rsidRPr="0060377C" w:rsidRDefault="0060377C" w:rsidP="0060377C">
      <w:pPr>
        <w:ind w:firstLine="284"/>
        <w:jc w:val="both"/>
        <w:rPr>
          <w:rFonts w:ascii="Times New Roman" w:hAnsi="Times New Roman"/>
          <w:szCs w:val="24"/>
        </w:rPr>
      </w:pPr>
      <w:r w:rsidRPr="0060377C">
        <w:rPr>
          <w:rFonts w:ascii="Times New Roman" w:hAnsi="Times New Roman"/>
          <w:szCs w:val="24"/>
        </w:rPr>
        <w:t xml:space="preserve"> </w:t>
      </w:r>
      <w:r w:rsidRPr="0060377C">
        <w:rPr>
          <w:rFonts w:ascii="Times New Roman" w:hAnsi="Times New Roman"/>
          <w:szCs w:val="24"/>
        </w:rPr>
        <w:t xml:space="preserve"> Группа депутатов во главе с руководителем </w:t>
      </w:r>
      <w:r w:rsidRPr="0060377C">
        <w:rPr>
          <w:rFonts w:ascii="Times New Roman" w:hAnsi="Times New Roman"/>
          <w:szCs w:val="24"/>
        </w:rPr>
        <w:t>комитета по финансовому рынку Анатолием Аксаковым</w:t>
      </w:r>
      <w:r w:rsidRPr="0060377C">
        <w:rPr>
          <w:rFonts w:ascii="Times New Roman" w:hAnsi="Times New Roman"/>
          <w:szCs w:val="24"/>
        </w:rPr>
        <w:t xml:space="preserve"> внесла в Госдуму </w:t>
      </w:r>
      <w:r w:rsidRPr="0060377C">
        <w:rPr>
          <w:rFonts w:ascii="Times New Roman" w:hAnsi="Times New Roman"/>
          <w:szCs w:val="24"/>
        </w:rPr>
        <w:t xml:space="preserve">законопроект, который расширяет для  </w:t>
      </w:r>
      <w:r w:rsidRPr="0060377C">
        <w:rPr>
          <w:rFonts w:ascii="Times New Roman" w:hAnsi="Times New Roman"/>
          <w:szCs w:val="24"/>
        </w:rPr>
        <w:t xml:space="preserve">негосударственных пенсионных фондов </w:t>
      </w:r>
      <w:r w:rsidRPr="0060377C">
        <w:rPr>
          <w:rFonts w:ascii="Times New Roman" w:hAnsi="Times New Roman"/>
          <w:szCs w:val="24"/>
        </w:rPr>
        <w:t>(</w:t>
      </w:r>
      <w:r w:rsidRPr="0060377C">
        <w:rPr>
          <w:rFonts w:ascii="Times New Roman" w:hAnsi="Times New Roman"/>
          <w:szCs w:val="24"/>
        </w:rPr>
        <w:t>НПФ</w:t>
      </w:r>
      <w:r w:rsidRPr="0060377C">
        <w:rPr>
          <w:rFonts w:ascii="Times New Roman" w:hAnsi="Times New Roman"/>
          <w:szCs w:val="24"/>
        </w:rPr>
        <w:t xml:space="preserve">) возможность инвестирования </w:t>
      </w:r>
      <w:r w:rsidRPr="0060377C">
        <w:rPr>
          <w:rFonts w:ascii="Times New Roman" w:hAnsi="Times New Roman"/>
          <w:szCs w:val="24"/>
        </w:rPr>
        <w:t>пенсионных накоплений</w:t>
      </w:r>
    </w:p>
    <w:p w:rsidR="002944E4" w:rsidRPr="0060377C" w:rsidRDefault="0060377C" w:rsidP="0060377C">
      <w:pPr>
        <w:ind w:firstLine="284"/>
        <w:jc w:val="both"/>
        <w:rPr>
          <w:rFonts w:ascii="Times New Roman" w:hAnsi="Times New Roman"/>
          <w:szCs w:val="24"/>
        </w:rPr>
      </w:pPr>
      <w:r w:rsidRPr="0060377C">
        <w:rPr>
          <w:rFonts w:ascii="Times New Roman" w:hAnsi="Times New Roman"/>
          <w:szCs w:val="24"/>
        </w:rPr>
        <w:t>граждан.</w:t>
      </w:r>
    </w:p>
    <w:p w:rsidR="002944E4" w:rsidRPr="0060377C" w:rsidRDefault="0060377C" w:rsidP="0060377C">
      <w:pPr>
        <w:ind w:firstLine="284"/>
        <w:jc w:val="both"/>
        <w:rPr>
          <w:rFonts w:ascii="Times New Roman" w:hAnsi="Times New Roman"/>
          <w:szCs w:val="24"/>
        </w:rPr>
      </w:pPr>
      <w:r w:rsidRPr="0060377C">
        <w:rPr>
          <w:rFonts w:ascii="Times New Roman" w:hAnsi="Times New Roman"/>
          <w:szCs w:val="24"/>
        </w:rPr>
        <w:t>Документ (N1043652-7) опубликован в электронной базе данных нижней палаты</w:t>
      </w:r>
    </w:p>
    <w:p w:rsidR="002944E4" w:rsidRPr="0060377C" w:rsidRDefault="0060377C" w:rsidP="0060377C">
      <w:pPr>
        <w:ind w:firstLine="284"/>
        <w:jc w:val="both"/>
        <w:rPr>
          <w:rFonts w:ascii="Times New Roman" w:hAnsi="Times New Roman"/>
          <w:szCs w:val="24"/>
        </w:rPr>
      </w:pPr>
      <w:r w:rsidRPr="0060377C">
        <w:rPr>
          <w:rFonts w:ascii="Times New Roman" w:hAnsi="Times New Roman"/>
          <w:szCs w:val="24"/>
        </w:rPr>
        <w:t>парламента.</w:t>
      </w:r>
    </w:p>
    <w:p w:rsidR="002944E4" w:rsidRPr="0060377C" w:rsidRDefault="0060377C" w:rsidP="0060377C">
      <w:pPr>
        <w:ind w:firstLine="284"/>
        <w:jc w:val="both"/>
        <w:rPr>
          <w:rFonts w:ascii="Times New Roman" w:hAnsi="Times New Roman"/>
          <w:szCs w:val="24"/>
        </w:rPr>
      </w:pPr>
      <w:r w:rsidRPr="0060377C">
        <w:rPr>
          <w:rFonts w:ascii="Times New Roman" w:hAnsi="Times New Roman"/>
          <w:szCs w:val="24"/>
        </w:rPr>
        <w:t>Согласно д</w:t>
      </w:r>
      <w:r w:rsidRPr="0060377C">
        <w:rPr>
          <w:rFonts w:ascii="Times New Roman" w:hAnsi="Times New Roman"/>
          <w:szCs w:val="24"/>
        </w:rPr>
        <w:t xml:space="preserve">окументу, </w:t>
      </w:r>
      <w:r w:rsidRPr="0060377C">
        <w:rPr>
          <w:rFonts w:ascii="Times New Roman" w:hAnsi="Times New Roman"/>
          <w:szCs w:val="24"/>
        </w:rPr>
        <w:t xml:space="preserve">пенсионные накопления </w:t>
      </w:r>
      <w:r w:rsidRPr="0060377C">
        <w:rPr>
          <w:rFonts w:ascii="Times New Roman" w:hAnsi="Times New Roman"/>
          <w:szCs w:val="24"/>
        </w:rPr>
        <w:t xml:space="preserve">граждан планируется разрешить </w:t>
      </w:r>
      <w:r w:rsidRPr="0060377C">
        <w:rPr>
          <w:rFonts w:ascii="Times New Roman" w:hAnsi="Times New Roman"/>
          <w:szCs w:val="24"/>
        </w:rPr>
        <w:t>размещать в клиринговые сертификаты участия (КСУ). Норма заработает с 1 июня 2021</w:t>
      </w:r>
      <w:r w:rsidRPr="0060377C">
        <w:rPr>
          <w:rFonts w:ascii="Times New Roman" w:hAnsi="Times New Roman"/>
          <w:szCs w:val="24"/>
        </w:rPr>
        <w:t>г. "</w:t>
      </w:r>
      <w:proofErr w:type="spellStart"/>
      <w:r w:rsidRPr="0060377C">
        <w:rPr>
          <w:rFonts w:ascii="Times New Roman" w:hAnsi="Times New Roman"/>
          <w:szCs w:val="24"/>
        </w:rPr>
        <w:t>Репо</w:t>
      </w:r>
      <w:proofErr w:type="spellEnd"/>
      <w:r w:rsidRPr="0060377C">
        <w:rPr>
          <w:rFonts w:ascii="Times New Roman" w:hAnsi="Times New Roman"/>
          <w:szCs w:val="24"/>
        </w:rPr>
        <w:t xml:space="preserve"> с КСУ является в настоящее время самым ликвидным сегментом российского </w:t>
      </w:r>
      <w:r w:rsidRPr="0060377C">
        <w:rPr>
          <w:rFonts w:ascii="Times New Roman" w:hAnsi="Times New Roman"/>
          <w:szCs w:val="24"/>
        </w:rPr>
        <w:t>денежного рынка, количество уча</w:t>
      </w:r>
      <w:r w:rsidRPr="0060377C">
        <w:rPr>
          <w:rFonts w:ascii="Times New Roman" w:hAnsi="Times New Roman"/>
          <w:szCs w:val="24"/>
        </w:rPr>
        <w:t xml:space="preserve">стников на котором превышает 240, среди которых </w:t>
      </w:r>
      <w:r w:rsidRPr="0060377C">
        <w:rPr>
          <w:rFonts w:ascii="Times New Roman" w:hAnsi="Times New Roman"/>
          <w:szCs w:val="24"/>
        </w:rPr>
        <w:t xml:space="preserve">банки, брокеры, а также нефинансовые корпорации", - говорится в пояснительной </w:t>
      </w:r>
      <w:r w:rsidRPr="0060377C">
        <w:rPr>
          <w:rFonts w:ascii="Times New Roman" w:hAnsi="Times New Roman"/>
          <w:szCs w:val="24"/>
        </w:rPr>
        <w:t xml:space="preserve">записке. Так как операции проводятся через центрального контрагента, данный сегмент </w:t>
      </w:r>
      <w:r w:rsidRPr="0060377C">
        <w:rPr>
          <w:rFonts w:ascii="Times New Roman" w:hAnsi="Times New Roman"/>
          <w:szCs w:val="24"/>
        </w:rPr>
        <w:t>обеспечивает не только максимальную ликвидност</w:t>
      </w:r>
      <w:r w:rsidRPr="0060377C">
        <w:rPr>
          <w:rFonts w:ascii="Times New Roman" w:hAnsi="Times New Roman"/>
          <w:szCs w:val="24"/>
        </w:rPr>
        <w:t xml:space="preserve">ь, но и надежность, считают авторы </w:t>
      </w:r>
      <w:r w:rsidRPr="0060377C">
        <w:rPr>
          <w:rFonts w:ascii="Times New Roman" w:hAnsi="Times New Roman"/>
          <w:szCs w:val="24"/>
        </w:rPr>
        <w:t>законопроекта.</w:t>
      </w:r>
    </w:p>
    <w:p w:rsidR="002944E4" w:rsidRPr="0060377C" w:rsidRDefault="0060377C" w:rsidP="0060377C">
      <w:pPr>
        <w:ind w:firstLine="284"/>
        <w:jc w:val="both"/>
        <w:rPr>
          <w:rFonts w:ascii="Times New Roman" w:hAnsi="Times New Roman"/>
          <w:szCs w:val="24"/>
        </w:rPr>
      </w:pPr>
      <w:r w:rsidRPr="0060377C">
        <w:rPr>
          <w:rFonts w:ascii="Times New Roman" w:hAnsi="Times New Roman"/>
          <w:szCs w:val="24"/>
        </w:rPr>
        <w:t xml:space="preserve">Также законопроект позволяет размещать средства </w:t>
      </w:r>
      <w:r w:rsidRPr="0060377C">
        <w:rPr>
          <w:rFonts w:ascii="Times New Roman" w:hAnsi="Times New Roman"/>
          <w:szCs w:val="24"/>
        </w:rPr>
        <w:t xml:space="preserve">пенсионных накоплений </w:t>
      </w:r>
      <w:r w:rsidRPr="0060377C">
        <w:rPr>
          <w:rFonts w:ascii="Times New Roman" w:hAnsi="Times New Roman"/>
          <w:szCs w:val="24"/>
        </w:rPr>
        <w:t xml:space="preserve">в </w:t>
      </w:r>
      <w:r w:rsidRPr="0060377C">
        <w:rPr>
          <w:rFonts w:ascii="Times New Roman" w:hAnsi="Times New Roman"/>
          <w:szCs w:val="24"/>
        </w:rPr>
        <w:t xml:space="preserve">депозиты в небанковских кредитных организациях, осуществляющих функции </w:t>
      </w:r>
      <w:r w:rsidRPr="0060377C">
        <w:rPr>
          <w:rFonts w:ascii="Times New Roman" w:hAnsi="Times New Roman"/>
          <w:szCs w:val="24"/>
        </w:rPr>
        <w:t xml:space="preserve">центрального контрагента. </w:t>
      </w:r>
    </w:p>
    <w:p w:rsidR="002944E4" w:rsidRPr="0060377C" w:rsidRDefault="0060377C" w:rsidP="0060377C">
      <w:pPr>
        <w:ind w:firstLine="284"/>
        <w:jc w:val="both"/>
        <w:rPr>
          <w:rFonts w:ascii="Times New Roman" w:hAnsi="Times New Roman"/>
          <w:szCs w:val="24"/>
        </w:rPr>
      </w:pPr>
      <w:r w:rsidRPr="0060377C">
        <w:rPr>
          <w:rFonts w:ascii="Times New Roman" w:hAnsi="Times New Roman"/>
          <w:szCs w:val="24"/>
        </w:rPr>
        <w:t xml:space="preserve">Авторы документа напоминают, что к </w:t>
      </w:r>
      <w:r w:rsidRPr="0060377C">
        <w:rPr>
          <w:rFonts w:ascii="Times New Roman" w:hAnsi="Times New Roman"/>
          <w:szCs w:val="24"/>
        </w:rPr>
        <w:t xml:space="preserve">настоящему времени к рынку депозитов с </w:t>
      </w:r>
      <w:r w:rsidRPr="0060377C">
        <w:rPr>
          <w:rFonts w:ascii="Times New Roman" w:hAnsi="Times New Roman"/>
          <w:szCs w:val="24"/>
        </w:rPr>
        <w:t xml:space="preserve">центральным контрагентом подключилось более 130 участников, среди которых </w:t>
      </w:r>
      <w:r w:rsidRPr="0060377C">
        <w:rPr>
          <w:rFonts w:ascii="Times New Roman" w:hAnsi="Times New Roman"/>
          <w:szCs w:val="24"/>
        </w:rPr>
        <w:t>крупнейшие российские компании нефинансового сектора и страховые компании.</w:t>
      </w:r>
    </w:p>
    <w:p w:rsidR="002944E4" w:rsidRPr="0060377C" w:rsidRDefault="0060377C" w:rsidP="0060377C">
      <w:pPr>
        <w:ind w:firstLine="284"/>
        <w:jc w:val="both"/>
        <w:rPr>
          <w:rFonts w:ascii="Times New Roman" w:hAnsi="Times New Roman"/>
          <w:szCs w:val="24"/>
        </w:rPr>
      </w:pPr>
      <w:r w:rsidRPr="0060377C">
        <w:rPr>
          <w:rFonts w:ascii="Times New Roman" w:hAnsi="Times New Roman"/>
          <w:szCs w:val="24"/>
        </w:rPr>
        <w:t xml:space="preserve">"Ставки на рынке депозитов с центральным контрагентом, как правило, </w:t>
      </w:r>
      <w:r w:rsidRPr="0060377C">
        <w:rPr>
          <w:rFonts w:ascii="Times New Roman" w:hAnsi="Times New Roman"/>
          <w:szCs w:val="24"/>
        </w:rPr>
        <w:t xml:space="preserve">превышают </w:t>
      </w:r>
      <w:r w:rsidRPr="0060377C">
        <w:rPr>
          <w:rFonts w:ascii="Times New Roman" w:hAnsi="Times New Roman"/>
          <w:szCs w:val="24"/>
        </w:rPr>
        <w:t xml:space="preserve">стандартные ставки на банковских депозитах, что позволяет участникам данного </w:t>
      </w:r>
      <w:r w:rsidRPr="0060377C">
        <w:rPr>
          <w:rFonts w:ascii="Times New Roman" w:hAnsi="Times New Roman"/>
          <w:szCs w:val="24"/>
        </w:rPr>
        <w:t xml:space="preserve">сегмента денежного рынка размещать свои денежные средства на наиболее выгодных </w:t>
      </w:r>
      <w:r w:rsidRPr="0060377C">
        <w:rPr>
          <w:rFonts w:ascii="Times New Roman" w:hAnsi="Times New Roman"/>
          <w:szCs w:val="24"/>
        </w:rPr>
        <w:t xml:space="preserve">условиях", - говорится в пояснительной записке. Данная норма, в случае принятия </w:t>
      </w:r>
      <w:r w:rsidRPr="0060377C">
        <w:rPr>
          <w:rFonts w:ascii="Times New Roman" w:hAnsi="Times New Roman"/>
          <w:szCs w:val="24"/>
        </w:rPr>
        <w:t>закона мож</w:t>
      </w:r>
      <w:r w:rsidRPr="0060377C">
        <w:rPr>
          <w:rFonts w:ascii="Times New Roman" w:hAnsi="Times New Roman"/>
          <w:szCs w:val="24"/>
        </w:rPr>
        <w:t xml:space="preserve">ет заработать со дня его официального опубликования. </w:t>
      </w:r>
    </w:p>
    <w:p w:rsidR="002944E4" w:rsidRPr="0060377C" w:rsidRDefault="0060377C" w:rsidP="0060377C">
      <w:pPr>
        <w:ind w:firstLine="284"/>
        <w:jc w:val="both"/>
        <w:rPr>
          <w:rFonts w:ascii="Times New Roman" w:hAnsi="Times New Roman"/>
          <w:szCs w:val="24"/>
        </w:rPr>
      </w:pPr>
      <w:r w:rsidRPr="0060377C">
        <w:rPr>
          <w:rFonts w:ascii="Times New Roman" w:hAnsi="Times New Roman"/>
          <w:szCs w:val="24"/>
        </w:rPr>
        <w:t xml:space="preserve">В конце июня глава комитета по финансовому рынку Анатолий Аксаков заявлял, что в </w:t>
      </w:r>
      <w:r w:rsidRPr="0060377C">
        <w:rPr>
          <w:rFonts w:ascii="Times New Roman" w:hAnsi="Times New Roman"/>
          <w:szCs w:val="24"/>
        </w:rPr>
        <w:t xml:space="preserve">планах у депутатов разрешить инвестировать  </w:t>
      </w:r>
      <w:r w:rsidRPr="0060377C">
        <w:rPr>
          <w:rFonts w:ascii="Times New Roman" w:hAnsi="Times New Roman"/>
          <w:szCs w:val="24"/>
        </w:rPr>
        <w:t xml:space="preserve">пенсионные накопления </w:t>
      </w:r>
      <w:r w:rsidRPr="0060377C">
        <w:rPr>
          <w:rFonts w:ascii="Times New Roman" w:hAnsi="Times New Roman"/>
          <w:szCs w:val="24"/>
        </w:rPr>
        <w:t xml:space="preserve">граждан в </w:t>
      </w:r>
      <w:r w:rsidRPr="0060377C">
        <w:rPr>
          <w:rFonts w:ascii="Times New Roman" w:hAnsi="Times New Roman"/>
          <w:szCs w:val="24"/>
        </w:rPr>
        <w:t>драгоценные металлы.</w:t>
      </w:r>
    </w:p>
    <w:p w:rsidR="002944E4" w:rsidRPr="0060377C" w:rsidRDefault="0060377C" w:rsidP="0060377C">
      <w:pPr>
        <w:ind w:firstLine="284"/>
        <w:jc w:val="both"/>
        <w:rPr>
          <w:rFonts w:ascii="Times New Roman" w:hAnsi="Times New Roman"/>
          <w:szCs w:val="24"/>
        </w:rPr>
      </w:pPr>
      <w:r w:rsidRPr="0060377C">
        <w:rPr>
          <w:rFonts w:ascii="Times New Roman" w:hAnsi="Times New Roman"/>
          <w:szCs w:val="24"/>
        </w:rPr>
        <w:t>Согласно действующему зак</w:t>
      </w:r>
      <w:r w:rsidRPr="0060377C">
        <w:rPr>
          <w:rFonts w:ascii="Times New Roman" w:hAnsi="Times New Roman"/>
          <w:szCs w:val="24"/>
        </w:rPr>
        <w:t xml:space="preserve">онодательству средства  </w:t>
      </w:r>
      <w:r w:rsidRPr="0060377C">
        <w:rPr>
          <w:rFonts w:ascii="Times New Roman" w:hAnsi="Times New Roman"/>
          <w:szCs w:val="24"/>
        </w:rPr>
        <w:t xml:space="preserve">пенсионных накоплений </w:t>
      </w:r>
      <w:r w:rsidRPr="0060377C">
        <w:rPr>
          <w:rFonts w:ascii="Times New Roman" w:hAnsi="Times New Roman"/>
          <w:szCs w:val="24"/>
        </w:rPr>
        <w:t xml:space="preserve">можно </w:t>
      </w:r>
      <w:r w:rsidRPr="0060377C">
        <w:rPr>
          <w:rFonts w:ascii="Times New Roman" w:hAnsi="Times New Roman"/>
          <w:szCs w:val="24"/>
        </w:rPr>
        <w:t xml:space="preserve">инвестировать в государственные ценные бумаги, облигации российских эмитентов, </w:t>
      </w:r>
      <w:r w:rsidRPr="0060377C">
        <w:rPr>
          <w:rFonts w:ascii="Times New Roman" w:hAnsi="Times New Roman"/>
          <w:szCs w:val="24"/>
        </w:rPr>
        <w:t xml:space="preserve">ипотечные ценные бумаги, депозиты в валюте и рублях, ценные бумаги </w:t>
      </w:r>
      <w:r w:rsidRPr="0060377C">
        <w:rPr>
          <w:rFonts w:ascii="Times New Roman" w:hAnsi="Times New Roman"/>
          <w:szCs w:val="24"/>
        </w:rPr>
        <w:t xml:space="preserve">международных финансовых организаций, допущенных к </w:t>
      </w:r>
      <w:r w:rsidRPr="0060377C">
        <w:rPr>
          <w:rFonts w:ascii="Times New Roman" w:hAnsi="Times New Roman"/>
          <w:szCs w:val="24"/>
        </w:rPr>
        <w:t xml:space="preserve">размещению или </w:t>
      </w:r>
      <w:r w:rsidRPr="0060377C">
        <w:rPr>
          <w:rFonts w:ascii="Times New Roman" w:hAnsi="Times New Roman"/>
          <w:szCs w:val="24"/>
        </w:rPr>
        <w:t xml:space="preserve">публичному обращению в РФ. Банком России могут устанавливаться дополнительные </w:t>
      </w:r>
      <w:r w:rsidRPr="0060377C">
        <w:rPr>
          <w:rFonts w:ascii="Times New Roman" w:hAnsi="Times New Roman"/>
          <w:szCs w:val="24"/>
        </w:rPr>
        <w:t xml:space="preserve">ограничения на инвестирование средств  </w:t>
      </w:r>
      <w:r w:rsidRPr="0060377C">
        <w:rPr>
          <w:rFonts w:ascii="Times New Roman" w:hAnsi="Times New Roman"/>
          <w:szCs w:val="24"/>
        </w:rPr>
        <w:t>пенсионных накоплений</w:t>
      </w:r>
      <w:r w:rsidRPr="0060377C">
        <w:rPr>
          <w:rFonts w:ascii="Times New Roman" w:hAnsi="Times New Roman"/>
          <w:szCs w:val="24"/>
        </w:rPr>
        <w:t>.</w:t>
      </w:r>
    </w:p>
    <w:p w:rsidR="0060377C" w:rsidRPr="0060377C" w:rsidRDefault="0060377C" w:rsidP="0060377C">
      <w:pPr>
        <w:ind w:firstLine="284"/>
        <w:jc w:val="both"/>
        <w:rPr>
          <w:rFonts w:ascii="Times New Roman" w:hAnsi="Times New Roman"/>
          <w:szCs w:val="24"/>
        </w:rPr>
      </w:pPr>
      <w:r w:rsidRPr="0060377C">
        <w:rPr>
          <w:rFonts w:ascii="Times New Roman" w:hAnsi="Times New Roman"/>
          <w:szCs w:val="24"/>
        </w:rPr>
        <w:t xml:space="preserve">Пенсионные накопления </w:t>
      </w:r>
      <w:r w:rsidRPr="0060377C">
        <w:rPr>
          <w:rFonts w:ascii="Times New Roman" w:hAnsi="Times New Roman"/>
          <w:szCs w:val="24"/>
        </w:rPr>
        <w:t xml:space="preserve">- это средства, которые формируются за счет: </w:t>
      </w:r>
    </w:p>
    <w:p w:rsidR="002944E4" w:rsidRPr="0060377C" w:rsidRDefault="0060377C" w:rsidP="0060377C">
      <w:pPr>
        <w:ind w:firstLine="284"/>
        <w:jc w:val="both"/>
        <w:rPr>
          <w:rFonts w:ascii="Times New Roman" w:hAnsi="Times New Roman"/>
          <w:szCs w:val="24"/>
        </w:rPr>
      </w:pPr>
      <w:r w:rsidRPr="0060377C">
        <w:rPr>
          <w:rFonts w:ascii="Times New Roman" w:hAnsi="Times New Roman"/>
          <w:szCs w:val="24"/>
        </w:rPr>
        <w:t xml:space="preserve">сумм </w:t>
      </w:r>
      <w:r w:rsidRPr="0060377C">
        <w:rPr>
          <w:rFonts w:ascii="Times New Roman" w:hAnsi="Times New Roman"/>
          <w:szCs w:val="24"/>
        </w:rPr>
        <w:t xml:space="preserve">страховых взносов </w:t>
      </w:r>
      <w:r w:rsidRPr="0060377C">
        <w:rPr>
          <w:rFonts w:ascii="Times New Roman" w:hAnsi="Times New Roman"/>
          <w:szCs w:val="24"/>
        </w:rPr>
        <w:t>работодате</w:t>
      </w:r>
      <w:r w:rsidRPr="0060377C">
        <w:rPr>
          <w:rFonts w:ascii="Times New Roman" w:hAnsi="Times New Roman"/>
          <w:szCs w:val="24"/>
        </w:rPr>
        <w:t xml:space="preserve">ля на  </w:t>
      </w:r>
      <w:r w:rsidRPr="0060377C">
        <w:rPr>
          <w:rFonts w:ascii="Times New Roman" w:hAnsi="Times New Roman"/>
          <w:szCs w:val="24"/>
        </w:rPr>
        <w:t xml:space="preserve">накопительную пенсию </w:t>
      </w:r>
      <w:r w:rsidRPr="0060377C">
        <w:rPr>
          <w:rFonts w:ascii="Times New Roman" w:hAnsi="Times New Roman"/>
          <w:szCs w:val="24"/>
        </w:rPr>
        <w:t xml:space="preserve">сотрудника в рамках </w:t>
      </w:r>
      <w:r w:rsidRPr="0060377C">
        <w:rPr>
          <w:rFonts w:ascii="Times New Roman" w:hAnsi="Times New Roman"/>
          <w:szCs w:val="24"/>
        </w:rPr>
        <w:t xml:space="preserve">обязательного </w:t>
      </w:r>
      <w:r w:rsidRPr="0060377C">
        <w:rPr>
          <w:rFonts w:ascii="Times New Roman" w:hAnsi="Times New Roman"/>
          <w:szCs w:val="24"/>
        </w:rPr>
        <w:t>пенсионного страхования</w:t>
      </w:r>
      <w:r w:rsidRPr="0060377C">
        <w:rPr>
          <w:rFonts w:ascii="Times New Roman" w:hAnsi="Times New Roman"/>
          <w:szCs w:val="24"/>
        </w:rPr>
        <w:t xml:space="preserve">; сумм дополнительных </w:t>
      </w:r>
      <w:r w:rsidRPr="0060377C">
        <w:rPr>
          <w:rFonts w:ascii="Times New Roman" w:hAnsi="Times New Roman"/>
          <w:szCs w:val="24"/>
        </w:rPr>
        <w:t xml:space="preserve">страховых взносов </w:t>
      </w:r>
      <w:r w:rsidRPr="0060377C">
        <w:rPr>
          <w:rFonts w:ascii="Times New Roman" w:hAnsi="Times New Roman"/>
          <w:szCs w:val="24"/>
        </w:rPr>
        <w:t xml:space="preserve">на  </w:t>
      </w:r>
      <w:r w:rsidRPr="0060377C">
        <w:rPr>
          <w:rFonts w:ascii="Times New Roman" w:hAnsi="Times New Roman"/>
          <w:szCs w:val="24"/>
        </w:rPr>
        <w:t>накопительную пенсию</w:t>
      </w:r>
      <w:r w:rsidRPr="0060377C">
        <w:rPr>
          <w:rFonts w:ascii="Times New Roman" w:hAnsi="Times New Roman"/>
          <w:szCs w:val="24"/>
        </w:rPr>
        <w:t xml:space="preserve">, в том числе в рамках программ </w:t>
      </w:r>
      <w:proofErr w:type="spellStart"/>
      <w:r w:rsidRPr="0060377C">
        <w:rPr>
          <w:rFonts w:ascii="Times New Roman" w:hAnsi="Times New Roman"/>
          <w:szCs w:val="24"/>
        </w:rPr>
        <w:t>софинансирования</w:t>
      </w:r>
      <w:proofErr w:type="spellEnd"/>
      <w:r w:rsidRPr="0060377C">
        <w:rPr>
          <w:rFonts w:ascii="Times New Roman" w:hAnsi="Times New Roman"/>
          <w:szCs w:val="24"/>
        </w:rPr>
        <w:t>;</w:t>
      </w:r>
    </w:p>
    <w:p w:rsidR="0060377C" w:rsidRPr="0060377C" w:rsidRDefault="0060377C" w:rsidP="0060377C">
      <w:pPr>
        <w:ind w:firstLine="284"/>
        <w:jc w:val="both"/>
        <w:rPr>
          <w:rFonts w:ascii="Times New Roman" w:hAnsi="Times New Roman"/>
          <w:szCs w:val="24"/>
        </w:rPr>
      </w:pPr>
      <w:r w:rsidRPr="0060377C">
        <w:rPr>
          <w:rFonts w:ascii="Times New Roman" w:hAnsi="Times New Roman"/>
          <w:szCs w:val="24"/>
        </w:rPr>
        <w:t xml:space="preserve">средств  </w:t>
      </w:r>
      <w:r w:rsidRPr="0060377C">
        <w:rPr>
          <w:rFonts w:ascii="Times New Roman" w:hAnsi="Times New Roman"/>
          <w:szCs w:val="24"/>
        </w:rPr>
        <w:t>материнского капитала</w:t>
      </w:r>
      <w:r w:rsidRPr="0060377C">
        <w:rPr>
          <w:rFonts w:ascii="Times New Roman" w:hAnsi="Times New Roman"/>
          <w:szCs w:val="24"/>
        </w:rPr>
        <w:t xml:space="preserve">, направленных на формирование </w:t>
      </w:r>
      <w:r w:rsidRPr="0060377C">
        <w:rPr>
          <w:rFonts w:ascii="Times New Roman" w:hAnsi="Times New Roman"/>
          <w:szCs w:val="24"/>
        </w:rPr>
        <w:t xml:space="preserve">накопительной </w:t>
      </w:r>
      <w:r w:rsidRPr="0060377C">
        <w:rPr>
          <w:rFonts w:ascii="Times New Roman" w:hAnsi="Times New Roman"/>
          <w:szCs w:val="24"/>
        </w:rPr>
        <w:t>пенсии</w:t>
      </w:r>
      <w:r w:rsidRPr="0060377C">
        <w:rPr>
          <w:rFonts w:ascii="Times New Roman" w:hAnsi="Times New Roman"/>
          <w:szCs w:val="24"/>
        </w:rPr>
        <w:t xml:space="preserve">; </w:t>
      </w:r>
    </w:p>
    <w:p w:rsidR="002944E4" w:rsidRPr="0060377C" w:rsidRDefault="0060377C" w:rsidP="0060377C">
      <w:pPr>
        <w:ind w:firstLine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и</w:t>
      </w:r>
      <w:r w:rsidRPr="0060377C">
        <w:rPr>
          <w:rFonts w:ascii="Times New Roman" w:hAnsi="Times New Roman"/>
          <w:szCs w:val="24"/>
        </w:rPr>
        <w:t xml:space="preserve">нвестиционного дохода, полученного в результате инвестирования указанных </w:t>
      </w:r>
      <w:r w:rsidRPr="0060377C">
        <w:rPr>
          <w:rFonts w:ascii="Times New Roman" w:hAnsi="Times New Roman"/>
          <w:szCs w:val="24"/>
        </w:rPr>
        <w:t>выше сумм.</w:t>
      </w:r>
    </w:p>
    <w:p w:rsidR="002944E4" w:rsidRPr="0060377C" w:rsidRDefault="002944E4" w:rsidP="0060377C">
      <w:pPr>
        <w:ind w:firstLine="284"/>
        <w:jc w:val="both"/>
        <w:rPr>
          <w:rFonts w:ascii="Times New Roman" w:hAnsi="Times New Roman"/>
          <w:szCs w:val="24"/>
        </w:rPr>
      </w:pPr>
    </w:p>
    <w:sectPr w:rsidR="002944E4" w:rsidRPr="0060377C" w:rsidSect="002944E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9"/>
  <w:characterSpacingControl w:val="doNotCompress"/>
  <w:compat/>
  <w:rsids>
    <w:rsidRoot w:val="002944E4"/>
    <w:rsid w:val="002944E4"/>
    <w:rsid w:val="00603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944E4"/>
  </w:style>
  <w:style w:type="paragraph" w:styleId="10">
    <w:name w:val="heading 1"/>
    <w:next w:val="a"/>
    <w:link w:val="11"/>
    <w:uiPriority w:val="9"/>
    <w:qFormat/>
    <w:rsid w:val="002944E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944E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944E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944E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944E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944E4"/>
  </w:style>
  <w:style w:type="paragraph" w:styleId="21">
    <w:name w:val="toc 2"/>
    <w:next w:val="a"/>
    <w:link w:val="22"/>
    <w:uiPriority w:val="39"/>
    <w:rsid w:val="002944E4"/>
    <w:pPr>
      <w:ind w:left="200"/>
    </w:pPr>
  </w:style>
  <w:style w:type="character" w:customStyle="1" w:styleId="22">
    <w:name w:val="Оглавление 2 Знак"/>
    <w:link w:val="21"/>
    <w:rsid w:val="002944E4"/>
  </w:style>
  <w:style w:type="paragraph" w:styleId="41">
    <w:name w:val="toc 4"/>
    <w:next w:val="a"/>
    <w:link w:val="42"/>
    <w:uiPriority w:val="39"/>
    <w:rsid w:val="002944E4"/>
    <w:pPr>
      <w:ind w:left="600"/>
    </w:pPr>
  </w:style>
  <w:style w:type="character" w:customStyle="1" w:styleId="42">
    <w:name w:val="Оглавление 4 Знак"/>
    <w:link w:val="41"/>
    <w:rsid w:val="002944E4"/>
  </w:style>
  <w:style w:type="paragraph" w:styleId="6">
    <w:name w:val="toc 6"/>
    <w:next w:val="a"/>
    <w:link w:val="60"/>
    <w:uiPriority w:val="39"/>
    <w:rsid w:val="002944E4"/>
    <w:pPr>
      <w:ind w:left="1000"/>
    </w:pPr>
  </w:style>
  <w:style w:type="character" w:customStyle="1" w:styleId="60">
    <w:name w:val="Оглавление 6 Знак"/>
    <w:link w:val="6"/>
    <w:rsid w:val="002944E4"/>
  </w:style>
  <w:style w:type="paragraph" w:styleId="7">
    <w:name w:val="toc 7"/>
    <w:next w:val="a"/>
    <w:link w:val="70"/>
    <w:uiPriority w:val="39"/>
    <w:rsid w:val="002944E4"/>
    <w:pPr>
      <w:ind w:left="1200"/>
    </w:pPr>
  </w:style>
  <w:style w:type="character" w:customStyle="1" w:styleId="70">
    <w:name w:val="Оглавление 7 Знак"/>
    <w:link w:val="7"/>
    <w:rsid w:val="002944E4"/>
  </w:style>
  <w:style w:type="character" w:customStyle="1" w:styleId="30">
    <w:name w:val="Заголовок 3 Знак"/>
    <w:link w:val="3"/>
    <w:rsid w:val="002944E4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2944E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944E4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2944E4"/>
    <w:pPr>
      <w:ind w:left="400"/>
    </w:pPr>
  </w:style>
  <w:style w:type="character" w:customStyle="1" w:styleId="32">
    <w:name w:val="Оглавление 3 Знак"/>
    <w:link w:val="31"/>
    <w:rsid w:val="002944E4"/>
  </w:style>
  <w:style w:type="character" w:customStyle="1" w:styleId="50">
    <w:name w:val="Заголовок 5 Знак"/>
    <w:link w:val="5"/>
    <w:rsid w:val="002944E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944E4"/>
    <w:rPr>
      <w:rFonts w:ascii="XO Thames" w:hAnsi="XO Thames"/>
      <w:b/>
      <w:sz w:val="32"/>
    </w:rPr>
  </w:style>
  <w:style w:type="paragraph" w:customStyle="1" w:styleId="Caption">
    <w:name w:val="Caption"/>
    <w:basedOn w:val="a"/>
    <w:link w:val="Caption0"/>
    <w:rsid w:val="002944E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944E4"/>
    <w:rPr>
      <w:i/>
      <w:sz w:val="24"/>
    </w:rPr>
  </w:style>
  <w:style w:type="paragraph" w:customStyle="1" w:styleId="12">
    <w:name w:val="Гиперссылка1"/>
    <w:link w:val="a3"/>
    <w:rsid w:val="002944E4"/>
    <w:rPr>
      <w:color w:val="0000FF"/>
      <w:u w:val="single"/>
    </w:rPr>
  </w:style>
  <w:style w:type="character" w:styleId="a3">
    <w:name w:val="Hyperlink"/>
    <w:link w:val="12"/>
    <w:rsid w:val="002944E4"/>
    <w:rPr>
      <w:color w:val="0000FF"/>
      <w:u w:val="single"/>
    </w:rPr>
  </w:style>
  <w:style w:type="paragraph" w:customStyle="1" w:styleId="Footnote">
    <w:name w:val="Footnote"/>
    <w:link w:val="Footnote0"/>
    <w:rsid w:val="002944E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944E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944E4"/>
    <w:rPr>
      <w:rFonts w:ascii="XO Thames" w:hAnsi="XO Thames"/>
      <w:b/>
    </w:rPr>
  </w:style>
  <w:style w:type="character" w:customStyle="1" w:styleId="14">
    <w:name w:val="Оглавление 1 Знак"/>
    <w:link w:val="13"/>
    <w:rsid w:val="002944E4"/>
    <w:rPr>
      <w:rFonts w:ascii="XO Thames" w:hAnsi="XO Thames"/>
      <w:b/>
    </w:rPr>
  </w:style>
  <w:style w:type="paragraph" w:styleId="a4">
    <w:name w:val="List"/>
    <w:basedOn w:val="Textbody"/>
    <w:link w:val="a5"/>
    <w:rsid w:val="002944E4"/>
  </w:style>
  <w:style w:type="character" w:customStyle="1" w:styleId="a5">
    <w:name w:val="Список Знак"/>
    <w:basedOn w:val="Textbody0"/>
    <w:link w:val="a4"/>
    <w:rsid w:val="002944E4"/>
  </w:style>
  <w:style w:type="paragraph" w:customStyle="1" w:styleId="HeaderandFooter">
    <w:name w:val="Header and Footer"/>
    <w:link w:val="HeaderandFooter0"/>
    <w:rsid w:val="002944E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944E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944E4"/>
    <w:pPr>
      <w:ind w:left="1600"/>
    </w:pPr>
  </w:style>
  <w:style w:type="character" w:customStyle="1" w:styleId="90">
    <w:name w:val="Оглавление 9 Знак"/>
    <w:link w:val="9"/>
    <w:rsid w:val="002944E4"/>
  </w:style>
  <w:style w:type="paragraph" w:styleId="8">
    <w:name w:val="toc 8"/>
    <w:next w:val="a"/>
    <w:link w:val="80"/>
    <w:uiPriority w:val="39"/>
    <w:rsid w:val="002944E4"/>
    <w:pPr>
      <w:ind w:left="1400"/>
    </w:pPr>
  </w:style>
  <w:style w:type="character" w:customStyle="1" w:styleId="80">
    <w:name w:val="Оглавление 8 Знак"/>
    <w:link w:val="8"/>
    <w:rsid w:val="002944E4"/>
  </w:style>
  <w:style w:type="paragraph" w:customStyle="1" w:styleId="Textbody">
    <w:name w:val="Text body"/>
    <w:basedOn w:val="a"/>
    <w:link w:val="Textbody0"/>
    <w:rsid w:val="002944E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944E4"/>
  </w:style>
  <w:style w:type="paragraph" w:styleId="51">
    <w:name w:val="toc 5"/>
    <w:next w:val="a"/>
    <w:link w:val="52"/>
    <w:uiPriority w:val="39"/>
    <w:rsid w:val="002944E4"/>
    <w:pPr>
      <w:ind w:left="800"/>
    </w:pPr>
  </w:style>
  <w:style w:type="character" w:customStyle="1" w:styleId="52">
    <w:name w:val="Оглавление 5 Знак"/>
    <w:link w:val="51"/>
    <w:rsid w:val="002944E4"/>
  </w:style>
  <w:style w:type="paragraph" w:customStyle="1" w:styleId="Index">
    <w:name w:val="Index"/>
    <w:basedOn w:val="a"/>
    <w:link w:val="Index0"/>
    <w:rsid w:val="002944E4"/>
  </w:style>
  <w:style w:type="character" w:customStyle="1" w:styleId="Index0">
    <w:name w:val="Index"/>
    <w:basedOn w:val="1"/>
    <w:link w:val="Index"/>
    <w:rsid w:val="002944E4"/>
  </w:style>
  <w:style w:type="paragraph" w:styleId="a6">
    <w:name w:val="Subtitle"/>
    <w:next w:val="a"/>
    <w:link w:val="a7"/>
    <w:uiPriority w:val="11"/>
    <w:qFormat/>
    <w:rsid w:val="002944E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944E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944E4"/>
    <w:pPr>
      <w:ind w:left="1800"/>
    </w:pPr>
  </w:style>
  <w:style w:type="character" w:customStyle="1" w:styleId="toc100">
    <w:name w:val="toc 10"/>
    <w:link w:val="toc10"/>
    <w:rsid w:val="002944E4"/>
  </w:style>
  <w:style w:type="paragraph" w:styleId="a8">
    <w:name w:val="Title"/>
    <w:next w:val="a"/>
    <w:link w:val="a9"/>
    <w:uiPriority w:val="10"/>
    <w:qFormat/>
    <w:rsid w:val="002944E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944E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944E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944E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430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2020-11-02T13:26:00Z</dcterms:created>
  <dcterms:modified xsi:type="dcterms:W3CDTF">2020-11-02T13:29:00Z</dcterms:modified>
</cp:coreProperties>
</file>