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ТАСС, 22.10.2020, 14:45, Накопительную пенсию в России получают более 75 тыс. человек</w:t>
      </w:r>
    </w:p>
    <w:p w14:paraId="02000000">
      <w:pPr>
        <w:pStyle w:val="Style_2"/>
      </w:pPr>
      <w:r>
        <w:t xml:space="preserve">МОСКВА, 22 октября. /ТАСС/. Более 75 тыс. человек сегодня получают </w:t>
      </w:r>
      <w:r>
        <w:rPr>
          <w:b w:val="1"/>
        </w:rPr>
        <w:t>накопительную часть пенсии</w:t>
      </w:r>
      <w:r>
        <w:t>, в следующем году их число вырастет почти до 82 тыс. Об этом в четверг сообщила член комитета Госдумы по труду, социальной политике и делам ветеранов Светлана Бессараб.</w:t>
      </w:r>
    </w:p>
    <w:p w14:paraId="03000000">
      <w:pPr>
        <w:pStyle w:val="Style_2"/>
      </w:pPr>
      <w:r>
        <w:t xml:space="preserve">"Сегодня 75 тыс. 759 граждан являются получателями </w:t>
      </w:r>
      <w:r>
        <w:rPr>
          <w:b w:val="1"/>
        </w:rPr>
        <w:t>накопительной части пенсии</w:t>
      </w:r>
      <w:r>
        <w:t xml:space="preserve">. В 2021 году их число составит уже почти 82 тыс. человек", - проинформировала она, представляя законопроект о продлении заморозки </w:t>
      </w:r>
      <w:r>
        <w:rPr>
          <w:b w:val="1"/>
        </w:rPr>
        <w:t>накопительной пенсии</w:t>
      </w:r>
      <w:r>
        <w:t xml:space="preserve"> до конца 2023 года.</w:t>
      </w:r>
    </w:p>
    <w:p w14:paraId="04000000">
      <w:pPr>
        <w:pStyle w:val="Style_2"/>
      </w:pPr>
      <w:r>
        <w:t xml:space="preserve">В четверг Госдума приняла документ в первом чтении. С 2014 года отчисления в накопительную часть в размере 6% от заработной платы россиян направляются в страховую часть на выплаты нынешним </w:t>
      </w:r>
      <w:r>
        <w:rPr>
          <w:b w:val="1"/>
        </w:rPr>
        <w:t>пенсионерам</w:t>
      </w:r>
      <w:r>
        <w:t>. Согласно действующему законодательству, эта норма действует до 2022 года включительно.</w:t>
      </w:r>
    </w:p>
    <w:p w14:paraId="05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toc 3"/>
    <w:next w:val="Style_3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List"/>
    <w:basedOn w:val="Style_2"/>
    <w:link w:val="Style_10_ch"/>
  </w:style>
  <w:style w:styleId="Style_10_ch" w:type="character">
    <w:name w:val="List"/>
    <w:basedOn w:val="Style_2_ch"/>
    <w:link w:val="Style_10"/>
  </w:style>
  <w:style w:styleId="Style_11" w:type="paragraph">
    <w:name w:val="Index"/>
    <w:basedOn w:val="Style_3"/>
    <w:link w:val="Style_11_ch"/>
  </w:style>
  <w:style w:styleId="Style_11_ch" w:type="character">
    <w:name w:val="Index"/>
    <w:basedOn w:val="Style_3_ch"/>
    <w:link w:val="Style_11"/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ing"/>
    <w:basedOn w:val="Style_3"/>
    <w:next w:val="Style_2"/>
    <w:link w:val="Style_17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7_ch" w:type="character">
    <w:name w:val="Heading"/>
    <w:basedOn w:val="Style_3_ch"/>
    <w:link w:val="Style_17"/>
    <w:rPr>
      <w:rFonts w:ascii="Liberation Sans" w:hAnsi="Liberation Sans"/>
      <w:sz w:val="28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22" w:type="paragraph">
    <w:name w:val="Subtitle"/>
    <w:next w:val="Style_3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3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Caption"/>
    <w:basedOn w:val="Style_3"/>
    <w:link w:val="Style_24_ch"/>
    <w:pPr>
      <w:spacing w:after="120" w:before="120"/>
      <w:ind/>
    </w:pPr>
    <w:rPr>
      <w:i w:val="1"/>
      <w:sz w:val="24"/>
    </w:rPr>
  </w:style>
  <w:style w:styleId="Style_24_ch" w:type="character">
    <w:name w:val="Caption"/>
    <w:basedOn w:val="Style_3_ch"/>
    <w:link w:val="Style_24"/>
    <w:rPr>
      <w:i w:val="1"/>
      <w:sz w:val="24"/>
    </w:rPr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7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7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