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РИА Новости, 22.10.2020, 13:11, Госдума приняла в I чтении проект о "заморозке" накопительной пенсии</w:t>
      </w:r>
    </w:p>
    <w:p w14:paraId="02000000">
      <w:pPr>
        <w:pStyle w:val="Style_2"/>
      </w:pPr>
      <w:r>
        <w:t xml:space="preserve">МОСКВА, 22 окт - РИА Новости. Госдума на пленарном заседании в четверг приняла в первом чтении правительственный законопроект, которым предлагается вновь продлить "заморозку" </w:t>
      </w:r>
      <w:r>
        <w:rPr>
          <w:b w:val="1"/>
        </w:rPr>
        <w:t>накопительной пенсии</w:t>
      </w:r>
      <w:r>
        <w:t xml:space="preserve"> еще на год, до конца 2023 года. Отчисления в накопительную часть </w:t>
      </w:r>
      <w:r>
        <w:rPr>
          <w:b w:val="1"/>
        </w:rPr>
        <w:t>пенсионной системы</w:t>
      </w:r>
      <w:r>
        <w:t xml:space="preserve"> в размере 6% от заработной платы россиян с 2014 года направляются в страховую часть, то есть идут на выплаты нынешним </w:t>
      </w:r>
      <w:r>
        <w:rPr>
          <w:b w:val="1"/>
        </w:rPr>
        <w:t>пенсионерам</w:t>
      </w:r>
      <w:r>
        <w:t xml:space="preserve">. Согласно действующему закону, такая норма действует до 2021 года. В прошлом году президент России Владимир Путин подписал федеральный закон о "заморозке" </w:t>
      </w:r>
      <w:r>
        <w:rPr>
          <w:b w:val="1"/>
        </w:rPr>
        <w:t>накопительной пенсии</w:t>
      </w:r>
      <w:r>
        <w:t xml:space="preserve"> в 2022 году. Документ продлевает положение этой нормы до конца 2023 года.</w:t>
      </w:r>
    </w:p>
    <w:p w14:paraId="03000000">
      <w:pPr>
        <w:pStyle w:val="Style_2"/>
      </w:pPr>
      <w:r>
        <w:t xml:space="preserve">"Учет в 2023 году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 в полном объеме на </w:t>
      </w:r>
      <w:r>
        <w:rPr>
          <w:b w:val="1"/>
        </w:rPr>
        <w:t>страховую пенсию</w:t>
      </w:r>
      <w:r>
        <w:t xml:space="preserve"> не уменьшит объем пенсионных прав застрахованных лиц в системе обязательного </w:t>
      </w:r>
      <w:r>
        <w:rPr>
          <w:b w:val="1"/>
        </w:rPr>
        <w:t>пенсионного страхования</w:t>
      </w:r>
      <w:r>
        <w:t xml:space="preserve">, поскольку размер в 16% индивидуальной̆ части тарифа </w:t>
      </w:r>
      <w:r>
        <w:rPr>
          <w:b w:val="1"/>
        </w:rPr>
        <w:t>страховых взносов</w:t>
      </w:r>
      <w:r>
        <w:t xml:space="preserve"> сохраняется, а определение в 2023 году максимального значения и величины индивидуального пенсионного коэффициента в соответствии с федеральным законом от 28 декабря 2013 г. No 400-ФЗ "О </w:t>
      </w:r>
      <w:r>
        <w:rPr>
          <w:b w:val="1"/>
        </w:rPr>
        <w:t>страховых пенсиях</w:t>
      </w:r>
      <w:r>
        <w:t xml:space="preserve">" осуществляется исходя из направления полного размера индивидуальной̆ части тарифа страхового взноса на финансирование </w:t>
      </w:r>
      <w:r>
        <w:rPr>
          <w:b w:val="1"/>
        </w:rPr>
        <w:t>страховой пенсии</w:t>
      </w:r>
      <w:r>
        <w:t xml:space="preserve"> и отсутствия формирования </w:t>
      </w:r>
      <w:r>
        <w:rPr>
          <w:b w:val="1"/>
        </w:rPr>
        <w:t>пенсионных накоплений</w:t>
      </w:r>
      <w:r>
        <w:t xml:space="preserve"> за счет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", - говорится в пояснительной записке. В финансово-экономическом обосновании сообщается, реализация законопроекта приведет к уменьшению трансферта на обязательное </w:t>
      </w:r>
      <w:r>
        <w:rPr>
          <w:b w:val="1"/>
        </w:rPr>
        <w:t>пенсионное страхование</w:t>
      </w:r>
      <w:r>
        <w:t xml:space="preserve">, передаваемого из федерального бюджета бюджету </w:t>
      </w:r>
      <w:r>
        <w:rPr>
          <w:b w:val="1"/>
        </w:rPr>
        <w:t>Пенсионного фонда</w:t>
      </w:r>
      <w:r>
        <w:t xml:space="preserve"> Российской̆ Федерации в 2023 году, по предварительной̆ оценке, на 669,3 миллиарда рублей.</w:t>
      </w:r>
    </w:p>
    <w:p w14:paraId="04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Heading"/>
    <w:basedOn w:val="Style_3"/>
    <w:next w:val="Style_2"/>
    <w:link w:val="Style_1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8_ch" w:type="character">
    <w:name w:val="Heading"/>
    <w:basedOn w:val="Style_3_ch"/>
    <w:link w:val="Style_18"/>
    <w:rPr>
      <w:rFonts w:ascii="Liberation Sans" w:hAnsi="Liberation Sans"/>
      <w:sz w:val="28"/>
    </w:rPr>
  </w:style>
  <w:style w:styleId="Style_19" w:type="paragraph">
    <w:name w:val="Caption"/>
    <w:basedOn w:val="Style_3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3_ch"/>
    <w:link w:val="Style_19"/>
    <w:rPr>
      <w:i w:val="1"/>
      <w:sz w:val="24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8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8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