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20.10.2020, 20:36, В Госдуму внесли проект о пропорциональном увеличении предельного дохода ИП и страховых взносов</w:t>
      </w:r>
    </w:p>
    <w:p w14:paraId="02000000">
      <w:pPr>
        <w:pStyle w:val="Style_2"/>
      </w:pPr>
      <w:r>
        <w:t xml:space="preserve">Ярославская областная Дума внесла в Госдуму законопроект, предусматривающий увеличение с 2021 года предельной величины дохода индивидуальных предпринимателей и других лиц, занимающихся частной практикой, пропорционально увеличению фиксированного размера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>. Документ опубликован во вторник в электронной базе нижней палаты парламента.</w:t>
      </w:r>
    </w:p>
    <w:p w14:paraId="03000000">
      <w:pPr>
        <w:pStyle w:val="Style_2"/>
      </w:pPr>
      <w:r>
        <w:t>Проектом предлагается внести изменения в статью 430 части второй Налогового кодекса.</w:t>
      </w:r>
    </w:p>
    <w:p w14:paraId="04000000">
      <w:pPr>
        <w:pStyle w:val="Style_2"/>
      </w:pPr>
      <w:r>
        <w:t xml:space="preserve">«Предельная величина дохода плательщика за расчетный период (…) при установлении фиксированных размеров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за расчетный период 2021 года и последующие расчетные периоды подлежит увеличению пропорционально увеличению фиксированного размера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. При этом фиксированный размер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не может быть установлен в размере более 10 процентов предельной величины дохода плательщика», — говорится в проекте закона.</w:t>
      </w:r>
    </w:p>
    <w:p w14:paraId="05000000">
      <w:pPr>
        <w:pStyle w:val="Style_2"/>
      </w:pPr>
      <w:r>
        <w:t xml:space="preserve">В настоящее время размер подлежащих уплате ИП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определяется, исходя из величины их дохода за год. Если годовой доход менее 300 тыс. рублей, плательщик уплачивает </w:t>
      </w:r>
      <w:r>
        <w:rPr>
          <w:b w:val="1"/>
        </w:rPr>
        <w:t>страховые взносы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только в фиксированном размере 32 448 рублей (за расчетный период 2020 года). Если доход превышает 300 тыс. рублей, размер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определяется как сумма упомянутого фиксированного платежа и 1% с суммы, которая превышает этот доход, но до установленной предельной величины. </w:t>
      </w:r>
      <w:r>
        <w:rPr>
          <w:b w:val="1"/>
        </w:rPr>
        <w:t>Страховые взносы</w:t>
      </w:r>
      <w:r>
        <w:t xml:space="preserve"> на обязательное медицинское страхование уплачиваются лицами только в фиксированном размере.</w:t>
      </w:r>
    </w:p>
    <w:p w14:paraId="06000000">
      <w:pPr>
        <w:pStyle w:val="Style_2"/>
      </w:pPr>
      <w:r>
        <w:t xml:space="preserve">В пояснительной записке отмечается, что предельная величина дохода в размере не более 300 тыс. рублей для определения фиксированного размера </w:t>
      </w:r>
      <w:r>
        <w:rPr>
          <w:b w:val="1"/>
        </w:rPr>
        <w:t>страховых взносов</w:t>
      </w:r>
      <w:r>
        <w:t xml:space="preserve"> применяется с начала 2014, и за это время общий уровень инфляции составил порядка 46%. При этом индексация фиксированных размеров </w:t>
      </w:r>
      <w:r>
        <w:rPr>
          <w:b w:val="1"/>
        </w:rPr>
        <w:t>страховых взносов</w:t>
      </w:r>
      <w:r>
        <w:t xml:space="preserve"> практически всегда производилась в размерах, превышающих уровень инфляции, что ежегодно увеличивало налоговую нагрузку на бизнесменов.</w:t>
      </w:r>
    </w:p>
    <w:p w14:paraId="07000000">
      <w:pPr>
        <w:pStyle w:val="Style_2"/>
      </w:pPr>
      <w:r>
        <w:t xml:space="preserve">По оценке авторов документа, ежегодная индексация величины доходов налогоплательщиков позволит добиться установления равновесия между размером фиксированных взносов и собственно доходами предпринимателей, а регулярная индексация фиксированного размера </w:t>
      </w:r>
      <w:r>
        <w:rPr>
          <w:b w:val="1"/>
        </w:rPr>
        <w:t>страховых взносов</w:t>
      </w:r>
      <w:r>
        <w:t xml:space="preserve"> обеспечит стабильный рост доходной части бюджета.</w:t>
      </w:r>
    </w:p>
    <w:p w14:paraId="08000000">
      <w:pPr>
        <w:pStyle w:val="Style_2"/>
      </w:pPr>
      <w:r>
        <w:t xml:space="preserve">Ожидается, что в случае принятия законопроект вступит в силу с 1 января 2021 года, но не ранее чем по истечении одного месяца со дня его официального опубликования и не ранее первого числа очередного расчетного периода по </w:t>
      </w:r>
      <w:r>
        <w:rPr>
          <w:b w:val="1"/>
        </w:rPr>
        <w:t>страховым взносам</w:t>
      </w:r>
      <w:r>
        <w:t>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Index"/>
    <w:basedOn w:val="Style_3"/>
    <w:link w:val="Style_17_ch"/>
  </w:style>
  <w:style w:styleId="Style_17_ch" w:type="character">
    <w:name w:val="Index"/>
    <w:basedOn w:val="Style_3_ch"/>
    <w:link w:val="Style_17"/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Caption"/>
    <w:basedOn w:val="Style_3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3_ch"/>
    <w:link w:val="Style_22"/>
    <w:rPr>
      <w:i w:val="1"/>
      <w:sz w:val="24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