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center"/>
        <w:rPr>
          <w:rFonts w:ascii="Cambria" w:hAnsi="Cambria"/>
          <w:b w:val="1"/>
          <w:color w:val="000000"/>
          <w:sz w:val="28"/>
        </w:rPr>
      </w:pPr>
      <w:r>
        <w:rPr>
          <w:rFonts w:ascii="Cambria" w:hAnsi="Cambria"/>
          <w:b w:val="1"/>
          <w:color w:val="000000"/>
          <w:sz w:val="28"/>
        </w:rPr>
        <w:t>ПЕНСИОННЫЙ ФОНД БЕЗ ВИЗИТА В ПФР</w:t>
      </w:r>
    </w:p>
    <w:p w14:paraId="02000000">
      <w:pPr>
        <w:pStyle w:val="Style_1"/>
        <w:ind/>
        <w:jc w:val="center"/>
        <w:rPr>
          <w:rFonts w:ascii="Cambria" w:hAnsi="Cambria"/>
          <w:b w:val="1"/>
          <w:color w:val="000000"/>
          <w:sz w:val="26"/>
        </w:rPr>
      </w:pPr>
      <w:r>
        <w:rPr>
          <w:rFonts w:ascii="Cambria" w:hAnsi="Cambria"/>
          <w:b w:val="1"/>
          <w:color w:val="000000"/>
          <w:sz w:val="26"/>
        </w:rPr>
        <w:t>Услуги для пенсионеров через Интернет.</w:t>
      </w:r>
    </w:p>
    <w:p w14:paraId="03000000">
      <w:pPr>
        <w:pStyle w:val="Style_1"/>
        <w:spacing w:line="360" w:lineRule="auto"/>
        <w:ind/>
        <w:jc w:val="both"/>
        <w:rPr>
          <w:color w:val="000000"/>
        </w:rPr>
      </w:pPr>
      <w:r>
        <w:rPr>
          <w:color w:val="000000"/>
          <w:sz w:val="24"/>
        </w:rPr>
        <w:t> </w:t>
      </w:r>
      <w:r>
        <w:rPr>
          <w:rFonts w:ascii="Cambria" w:hAnsi="Cambria"/>
          <w:b w:val="1"/>
          <w:color w:val="000000"/>
          <w:sz w:val="24"/>
        </w:rPr>
        <w:t xml:space="preserve">Электронные сервисы на сайте ПФР - </w:t>
      </w:r>
      <w:r>
        <w:rPr>
          <w:rFonts w:ascii="Cambria" w:hAnsi="Cambria"/>
          <w:color w:val="000000"/>
          <w:sz w:val="24"/>
        </w:rPr>
        <w:t>удобный способ получать государственные услуги без очереди, контролировать выплату пенсии, изменять способ ее доставки и получать справочную информацию.</w:t>
      </w:r>
    </w:p>
    <w:p w14:paraId="04000000">
      <w:pPr>
        <w:pStyle w:val="Style_1"/>
        <w:spacing w:line="276" w:lineRule="auto"/>
        <w:ind/>
        <w:jc w:val="both"/>
        <w:rPr>
          <w:color w:val="000000"/>
          <w:sz w:val="24"/>
        </w:rPr>
      </w:pPr>
      <w:r>
        <w:rPr>
          <w:rFonts w:ascii="Cambria" w:hAnsi="Cambria"/>
          <w:b w:val="1"/>
          <w:color w:val="000000"/>
          <w:sz w:val="24"/>
        </w:rPr>
        <w:t>На сайте ВЫ можете</w:t>
      </w:r>
      <w:r>
        <w:rPr>
          <w:rFonts w:ascii="Cambria" w:hAnsi="Cambria"/>
          <w:color w:val="000000"/>
          <w:sz w:val="24"/>
        </w:rPr>
        <w:t>:</w:t>
      </w:r>
    </w:p>
    <w:p w14:paraId="05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Узнать какая пенсия и социальные выплаты назначены пенсионеру;</w:t>
      </w:r>
    </w:p>
    <w:p w14:paraId="06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 xml:space="preserve">Изменить способ доставки </w:t>
      </w:r>
      <w:r>
        <w:rPr>
          <w:rFonts w:ascii="Cambria" w:hAnsi="Cambria"/>
          <w:color w:val="000000"/>
          <w:sz w:val="24"/>
        </w:rPr>
        <w:t xml:space="preserve">пенсии </w:t>
      </w:r>
      <w:r>
        <w:rPr>
          <w:rFonts w:ascii="Cambria" w:hAnsi="Cambria"/>
          <w:color w:val="000000"/>
          <w:sz w:val="24"/>
        </w:rPr>
        <w:t>и социальных выплат;</w:t>
      </w:r>
    </w:p>
    <w:p w14:paraId="07000000">
      <w:pPr>
        <w:pStyle w:val="Style_1"/>
        <w:spacing w:line="360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Получить справку о размере пенсии и социальных выплатах;</w:t>
      </w:r>
    </w:p>
    <w:p w14:paraId="08000000">
      <w:pPr>
        <w:pStyle w:val="Style_1"/>
        <w:spacing w:line="360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Перейти с одного вида пенсии на другой;</w:t>
      </w:r>
    </w:p>
    <w:p w14:paraId="09000000">
      <w:pPr>
        <w:pStyle w:val="Style_1"/>
        <w:spacing w:line="360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Назначить федеральную социальную доплату к пенсии (ФСД);</w:t>
      </w:r>
    </w:p>
    <w:p w14:paraId="0A000000">
      <w:pPr>
        <w:pStyle w:val="Style_1"/>
        <w:spacing w:line="360" w:lineRule="auto"/>
        <w:ind w:hanging="360" w:left="360" w:right="0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Назначить ежемесячную денежную выплату (ЕДВ);</w:t>
      </w:r>
    </w:p>
    <w:p w14:paraId="0B000000">
      <w:pPr>
        <w:pStyle w:val="Style_1"/>
        <w:spacing w:line="360" w:lineRule="auto"/>
        <w:ind w:hanging="360" w:left="360" w:right="0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Распорядится набором социальных услуг (НСУ);</w:t>
      </w:r>
    </w:p>
    <w:p w14:paraId="0C000000">
      <w:pPr>
        <w:pStyle w:val="Style_1"/>
        <w:spacing w:line="360" w:lineRule="auto"/>
        <w:ind w:hanging="360" w:left="360" w:right="0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Записаться на прием в Пенсионный фонд;</w:t>
      </w:r>
    </w:p>
    <w:p w14:paraId="0D000000">
      <w:pPr>
        <w:pStyle w:val="Style_1"/>
        <w:spacing w:line="360" w:lineRule="auto"/>
        <w:ind w:hanging="360" w:left="360" w:right="0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 xml:space="preserve">Написать обращение в Пенсионный фонд; </w:t>
      </w:r>
    </w:p>
    <w:p w14:paraId="0E000000">
      <w:pPr>
        <w:pStyle w:val="Style_1"/>
        <w:ind/>
        <w:jc w:val="center"/>
        <w:rPr>
          <w:color w:val="000000"/>
          <w:sz w:val="28"/>
        </w:rPr>
      </w:pPr>
      <w:r>
        <w:rPr>
          <w:rFonts w:ascii="Cambria" w:hAnsi="Cambria"/>
          <w:b w:val="1"/>
          <w:color w:val="000000"/>
          <w:sz w:val="28"/>
        </w:rPr>
        <w:t>Д</w:t>
      </w:r>
      <w:r>
        <w:rPr>
          <w:rFonts w:ascii="Cambria" w:hAnsi="Cambria"/>
          <w:b w:val="1"/>
          <w:color w:val="000000"/>
          <w:sz w:val="28"/>
        </w:rPr>
        <w:t>ля работающих граждан!</w:t>
      </w:r>
    </w:p>
    <w:p w14:paraId="0F000000">
      <w:pPr>
        <w:pStyle w:val="Style_1"/>
        <w:spacing w:line="276" w:lineRule="auto"/>
        <w:ind/>
        <w:jc w:val="both"/>
        <w:rPr>
          <w:color w:val="000000"/>
          <w:sz w:val="24"/>
        </w:rPr>
      </w:pPr>
      <w:r>
        <w:rPr>
          <w:rFonts w:ascii="Cambria" w:hAnsi="Cambria"/>
          <w:b w:val="1"/>
          <w:color w:val="000000"/>
          <w:sz w:val="24"/>
        </w:rPr>
        <w:t>На сайте ВЫ можете</w:t>
      </w:r>
      <w:r>
        <w:rPr>
          <w:rFonts w:ascii="Cambria" w:hAnsi="Cambria"/>
          <w:color w:val="000000"/>
          <w:sz w:val="24"/>
        </w:rPr>
        <w:t>:</w:t>
      </w:r>
    </w:p>
    <w:p w14:paraId="10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Узнать размер пенсионных баллов и стажа</w:t>
      </w:r>
    </w:p>
    <w:p w14:paraId="11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Рассчитать будущую пенсию</w:t>
      </w:r>
    </w:p>
    <w:p w14:paraId="12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Контролировать отчисления работодателя на пенсию</w:t>
      </w:r>
    </w:p>
    <w:p w14:paraId="13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Назначить ежемесячную денежную выплату (ЕДВ)</w:t>
      </w:r>
    </w:p>
    <w:p w14:paraId="14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Распорядится набором социальных услуг (НСУ)</w:t>
      </w:r>
    </w:p>
    <w:p w14:paraId="15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Назначить пенсию и выбрать способ её доставки</w:t>
      </w:r>
    </w:p>
    <w:p w14:paraId="16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Заказать справки</w:t>
      </w:r>
    </w:p>
    <w:p w14:paraId="17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Распорядится средствами МСК</w:t>
      </w:r>
    </w:p>
    <w:p w14:paraId="18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 xml:space="preserve">Получить справку о размере материнского капитала </w:t>
      </w:r>
    </w:p>
    <w:p w14:paraId="19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Записаться на прием в Пенсионный фонд</w:t>
      </w:r>
    </w:p>
    <w:p w14:paraId="1A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 xml:space="preserve">Написать обращение в Пенсионный фонд </w:t>
      </w:r>
    </w:p>
    <w:p w14:paraId="1B000000">
      <w:pPr>
        <w:pStyle w:val="Style_1"/>
        <w:spacing w:line="276" w:lineRule="auto"/>
        <w:ind w:hanging="360" w:left="360" w:right="0"/>
        <w:jc w:val="both"/>
        <w:rPr>
          <w:color w:val="000000"/>
          <w:sz w:val="24"/>
        </w:rPr>
      </w:pPr>
      <w:r>
        <w:rPr>
          <w:rFonts w:ascii="Wingdings" w:hAnsi="Wingdings"/>
          <w:color w:val="000000"/>
          <w:sz w:val="24"/>
        </w:rPr>
        <w:t>ü</w:t>
      </w:r>
      <w:r>
        <w:rPr>
          <w:rFonts w:ascii="Wingdings" w:hAnsi="Wingdings"/>
          <w:caps w:val="0"/>
          <w:smallCaps w:val="0"/>
          <w:color w:val="000000"/>
          <w:sz w:val="24"/>
        </w:rPr>
        <w:t xml:space="preserve"> </w:t>
      </w:r>
      <w:r>
        <w:rPr>
          <w:rFonts w:ascii="Cambria" w:hAnsi="Cambria"/>
          <w:color w:val="000000"/>
          <w:sz w:val="24"/>
        </w:rPr>
        <w:t>Перевести свои пенсионные накопления в другой фонд*</w:t>
      </w:r>
    </w:p>
    <w:p w14:paraId="1C000000">
      <w:pPr>
        <w:pStyle w:val="Style_1"/>
        <w:spacing w:line="276" w:lineRule="auto"/>
        <w:ind/>
        <w:jc w:val="both"/>
      </w:pPr>
      <w:r>
        <w:rPr>
          <w:color w:val="000000"/>
        </w:rPr>
        <w:t>  </w:t>
      </w:r>
      <w:r>
        <w:rPr>
          <w:rFonts w:ascii="Cambria" w:hAnsi="Cambria"/>
          <w:b w:val="1"/>
          <w:color w:val="000000"/>
          <w:sz w:val="24"/>
        </w:rPr>
        <w:t>Чтобы получить доступ к услугам ПФР используйте Ваш логин и пароль для единой идентификации и аутентификации (ЕСИА) (т.е. пароль, полученный при регистрации на госуслугах).</w:t>
      </w:r>
      <w:r>
        <w:rPr>
          <w:color w:val="000000"/>
          <w:sz w:val="24"/>
        </w:rPr>
        <w:t> </w:t>
      </w:r>
      <w:r>
        <w:rPr>
          <w:rFonts w:ascii="Cambria" w:hAnsi="Cambria"/>
          <w:b w:val="1"/>
          <w:sz w:val="24"/>
        </w:rPr>
        <w:t xml:space="preserve">Электронные сервисы ПФР доступны через мобильные приложения </w:t>
      </w:r>
      <w:r>
        <w:rPr>
          <w:rFonts w:ascii="Cambria" w:hAnsi="Cambria"/>
          <w:b w:val="1"/>
          <w:color w:val="0070C0"/>
          <w:sz w:val="24"/>
        </w:rPr>
        <w:t>IOS</w:t>
      </w:r>
      <w:r>
        <w:rPr>
          <w:color w:val="0070C0"/>
        </w:rPr>
        <w:t xml:space="preserve">  </w:t>
      </w:r>
      <w:r>
        <w:rPr>
          <w:rFonts w:ascii="Cambria" w:hAnsi="Cambria"/>
          <w:b w:val="1"/>
          <w:sz w:val="24"/>
        </w:rPr>
        <w:t>и</w:t>
      </w:r>
      <w:r>
        <w:rPr>
          <w:rFonts w:ascii="Cambria" w:hAnsi="Cambria"/>
          <w:b w:val="1"/>
          <w:color w:val="0070C0"/>
          <w:sz w:val="24"/>
        </w:rPr>
        <w:t xml:space="preserve"> </w:t>
      </w:r>
      <w:r>
        <w:rPr>
          <w:rFonts w:ascii="Cambria" w:hAnsi="Cambria"/>
          <w:b w:val="1"/>
          <w:color w:val="0070C0"/>
          <w:sz w:val="24"/>
        </w:rPr>
        <w:t>Android.</w:t>
      </w:r>
    </w:p>
    <w:p w14:paraId="1D000000">
      <w:pPr>
        <w:pStyle w:val="Style_1"/>
        <w:spacing w:line="276" w:lineRule="auto"/>
        <w:ind/>
        <w:jc w:val="both"/>
      </w:pPr>
      <w:r>
        <w:rPr>
          <w:rFonts w:ascii="Cambria" w:hAnsi="Cambria"/>
          <w:b w:val="1"/>
          <w:color w:val="0070C0"/>
          <w:sz w:val="24"/>
        </w:rPr>
        <w:t xml:space="preserve">                                                    </w:t>
      </w:r>
    </w:p>
    <w:p w14:paraId="1E000000">
      <w:pPr>
        <w:pStyle w:val="Style_1"/>
        <w:spacing w:line="276" w:lineRule="auto"/>
        <w:ind/>
        <w:jc w:val="both"/>
      </w:pPr>
      <w:r>
        <w:rPr>
          <w:rFonts w:ascii="Cambria" w:hAnsi="Cambria"/>
          <w:b w:val="1"/>
          <w:color w:val="0070C0"/>
          <w:sz w:val="24"/>
        </w:rPr>
        <w:t xml:space="preserve">                                                   </w:t>
      </w:r>
      <w:r>
        <w:rPr>
          <w:rFonts w:ascii="Cambria" w:hAnsi="Cambria"/>
          <w:b w:val="0"/>
          <w:color w:val="000000"/>
          <w:sz w:val="24"/>
        </w:rPr>
        <w:t xml:space="preserve">ГУ- Управление Пенсионного фонда РФ в Чамзинском </w:t>
      </w:r>
    </w:p>
    <w:p w14:paraId="1F000000">
      <w:pPr>
        <w:pStyle w:val="Style_1"/>
        <w:spacing w:line="276" w:lineRule="auto"/>
        <w:ind/>
        <w:jc w:val="both"/>
      </w:pPr>
      <w:r>
        <w:rPr>
          <w:rFonts w:ascii="Cambria" w:hAnsi="Cambria"/>
          <w:b w:val="0"/>
          <w:color w:val="000000"/>
          <w:sz w:val="24"/>
        </w:rPr>
        <w:t xml:space="preserve">                                                   мун. р-не Республики Мордовия.</w:t>
      </w:r>
    </w:p>
    <w:p w14:paraId="20000000">
      <w:pPr>
        <w:pStyle w:val="Style_1"/>
        <w:spacing w:line="276" w:lineRule="auto"/>
        <w:ind/>
        <w:jc w:val="both"/>
      </w:pPr>
    </w:p>
    <w:p w14:paraId="21000000">
      <w:pPr>
        <w:pStyle w:val="Style_1"/>
        <w:spacing w:line="276" w:lineRule="auto"/>
        <w:ind/>
        <w:jc w:val="both"/>
        <w:rPr>
          <w:color w:val="000000"/>
        </w:rPr>
      </w:pPr>
    </w:p>
    <w:p w14:paraId="22000000">
      <w:pPr>
        <w:pStyle w:val="Style_2"/>
        <w:rPr>
          <w:color w:val="000000"/>
        </w:rPr>
      </w:pPr>
      <w:r>
        <w:rPr>
          <w:color w:val="000000"/>
        </w:rPr>
        <w:t xml:space="preserve">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Index"/>
    <w:basedOn w:val="Style_2"/>
    <w:link w:val="Style_5_ch"/>
  </w:style>
  <w:style w:styleId="Style_5_ch" w:type="character">
    <w:name w:val="Index"/>
    <w:basedOn w:val="Style_2_ch"/>
    <w:link w:val="Style_5"/>
  </w:style>
  <w:style w:styleId="Style_6" w:type="paragraph">
    <w:name w:val="toc 6"/>
    <w:next w:val="Style_2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2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2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List"/>
    <w:basedOn w:val="Style_1"/>
    <w:link w:val="Style_9_ch"/>
  </w:style>
  <w:style w:styleId="Style_9_ch" w:type="character">
    <w:name w:val="List"/>
    <w:basedOn w:val="Style_1_ch"/>
    <w:link w:val="Style_9"/>
  </w:style>
  <w:style w:styleId="Style_10" w:type="paragraph">
    <w:name w:val="Caption"/>
    <w:basedOn w:val="Style_2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2_ch"/>
    <w:link w:val="Style_10"/>
    <w:rPr>
      <w:i w:val="1"/>
      <w:sz w:val="24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11" w:type="paragraph">
    <w:name w:val="toc 3"/>
    <w:next w:val="Style_2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2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Heading"/>
    <w:basedOn w:val="Style_2"/>
    <w:next w:val="Style_1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2_ch"/>
    <w:link w:val="Style_20"/>
    <w:rPr>
      <w:rFonts w:ascii="Liberation Sans" w:hAnsi="Liberation Sans"/>
      <w:sz w:val="28"/>
    </w:rPr>
  </w:style>
  <w:style w:styleId="Style_21" w:type="paragraph">
    <w:name w:val="toc 5"/>
    <w:next w:val="Style_2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