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31 октября истекает срок уведомления работодателями своих сотрудников о праве выбора формата трудовой книжки.</w:t>
      </w:r>
    </w:p>
    <w:p w14:paraId="02000000">
      <w:pPr>
        <w:pStyle w:val="Style_2"/>
      </w:pPr>
      <w:r>
        <w:t>20 октября 2020 12:09</w:t>
      </w:r>
    </w:p>
    <w:p w14:paraId="03000000">
      <w:pPr>
        <w:pStyle w:val="Style_3"/>
        <w:ind/>
        <w:jc w:val="both"/>
      </w:pPr>
      <w:r>
        <w:t>  Отделение ПФР по Республике Мордовия напоминает работодателям о том, что у них осталось менее двух недель для того, чтобы в соответствии с законодательством письменно уведомить каждого из своих сотрудников о праве сделать выбор ведения трудовой книжки - сохранить ее бумажную версию или выбрать электронный вид. Срок обязательного информирования работников завершится 31 октября.</w:t>
      </w:r>
    </w:p>
    <w:p w14:paraId="04000000">
      <w:pPr>
        <w:pStyle w:val="Style_3"/>
        <w:ind/>
        <w:jc w:val="both"/>
      </w:pPr>
      <w:r>
        <w:t>  Переход к электронной трудовой книжке носит добровольный характер и осуществляется только с согласия самих  работающих граждан. 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14:paraId="05000000">
      <w:pPr>
        <w:pStyle w:val="Style_3"/>
        <w:ind/>
        <w:jc w:val="both"/>
      </w:pPr>
      <w:r>
        <w:t>  Остальным гражданам до конца декабря 2020 года необходимо подать письменное заявление работодателю о ведении трудовой книжки в электронном виде или о сохранении бумажной трудовой книжки. Если человек подаст заявление о ведении трудовой книжки в электронном виде, тогда бумажную трудовую он получит на руки. Её необходимо сохранять, поскольку она является источником сведений о трудовой деятельности до 2020 года. В электронной версии фиксируются данные, начиная с 2020 года.</w:t>
      </w:r>
    </w:p>
    <w:p w14:paraId="06000000">
      <w:pPr>
        <w:pStyle w:val="Style_3"/>
        <w:ind/>
        <w:jc w:val="both"/>
      </w:pPr>
      <w:r>
        <w:t>  В случае если гражданин пожелает сохранить трудовую книжку на бумажном носителе, работодатель будет вести две книжки: электронную и бумажную.</w:t>
      </w:r>
    </w:p>
    <w:p w14:paraId="07000000">
      <w:pPr>
        <w:pStyle w:val="Style_3"/>
        <w:ind/>
        <w:jc w:val="both"/>
      </w:pPr>
      <w:r>
        <w:t>  Электронная трудовая книжка имеет ряд преимуществ. В частности, новый формат обеспечит постоянный и удобный доступ работников к информации о своей трудовой деятельности. В любое время эти сведения  можно  получить в личном кабинете на сайте ПФР или портале государственных услуг. Минимизация ошибочных и неточных данных позволяет дистанционно оформлять пенсии по данным лицевого счета без дополнительного документального подтверждения гражданами. Работодателям электронный формат поможет снизить издержки на ведение бумажных книжек, анализировать данные о трудовой деятельности, упростить дистанционное трудоустройство.</w:t>
      </w:r>
    </w:p>
    <w:p w14:paraId="08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Index"/>
    <w:basedOn w:val="Style_4"/>
    <w:link w:val="Style_6_ch"/>
  </w:style>
  <w:style w:styleId="Style_6_ch" w:type="character">
    <w:name w:val="Index"/>
    <w:basedOn w:val="Style_4_ch"/>
    <w:link w:val="Style_6"/>
  </w:style>
  <w:style w:styleId="Style_7" w:type="paragraph">
    <w:name w:val="toc 4"/>
    <w:next w:val="Style_4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4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2" w:type="paragraph">
    <w:name w:val="heading 3"/>
    <w:basedOn w:val="Style_10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0_ch"/>
    <w:link w:val="Style_2"/>
    <w:rPr>
      <w:rFonts w:ascii="Liberation Serif" w:hAnsi="Liberation Serif"/>
      <w:b w:val="1"/>
      <w:color w:val="808080"/>
      <w:sz w:val="28"/>
    </w:rPr>
  </w:style>
  <w:style w:styleId="Style_10" w:type="paragraph">
    <w:name w:val="Heading"/>
    <w:basedOn w:val="Style_4"/>
    <w:next w:val="Style_3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4_ch"/>
    <w:link w:val="Style_10"/>
    <w:rPr>
      <w:rFonts w:ascii="Liberation Sans" w:hAnsi="Liberation Sans"/>
      <w:sz w:val="28"/>
    </w:rPr>
  </w:style>
  <w:style w:styleId="Style_11" w:type="paragraph">
    <w:name w:val="toc 3"/>
    <w:next w:val="Style_4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List"/>
    <w:basedOn w:val="Style_3"/>
    <w:link w:val="Style_12_ch"/>
  </w:style>
  <w:style w:styleId="Style_12_ch" w:type="character">
    <w:name w:val="List"/>
    <w:basedOn w:val="Style_3_ch"/>
    <w:link w:val="Style_12"/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0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0_ch"/>
    <w:link w:val="Style_1"/>
    <w:rPr>
      <w:rFonts w:ascii="Liberation Serif" w:hAnsi="Liberation Serif"/>
      <w:b w:val="1"/>
      <w:sz w:val="4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4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4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3" w:type="paragraph">
    <w:name w:val="Text body"/>
    <w:basedOn w:val="Style_4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4_ch"/>
    <w:link w:val="Style_3"/>
  </w:style>
  <w:style w:styleId="Style_20" w:type="paragraph">
    <w:name w:val="Caption"/>
    <w:basedOn w:val="Style_4"/>
    <w:link w:val="Style_20_ch"/>
    <w:pPr>
      <w:spacing w:after="120" w:before="120"/>
      <w:ind/>
    </w:pPr>
    <w:rPr>
      <w:i w:val="1"/>
      <w:sz w:val="24"/>
    </w:rPr>
  </w:style>
  <w:style w:styleId="Style_20_ch" w:type="character">
    <w:name w:val="Caption"/>
    <w:basedOn w:val="Style_4_ch"/>
    <w:link w:val="Style_20"/>
    <w:rPr>
      <w:i w:val="1"/>
      <w:sz w:val="24"/>
    </w:rPr>
  </w:style>
  <w:style w:styleId="Style_21" w:type="paragraph">
    <w:name w:val="toc 5"/>
    <w:next w:val="Style_4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4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4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4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