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ТАСС, 18.10.2020, 12:53, В России вступили в силу обновленные правила получения пенсии</w:t>
      </w:r>
    </w:p>
    <w:p w14:paraId="02000000">
      <w:pPr>
        <w:pStyle w:val="Style_2"/>
      </w:pPr>
      <w:r>
        <w:t xml:space="preserve">МОСКВА, 18 октября. /ТАСС/. </w:t>
      </w:r>
      <w:r>
        <w:rPr>
          <w:b w:val="1"/>
        </w:rPr>
        <w:t>Пенсионеры</w:t>
      </w:r>
      <w:r>
        <w:t xml:space="preserve"> смогут сохранять дату получения </w:t>
      </w:r>
      <w:r>
        <w:rPr>
          <w:b w:val="1"/>
        </w:rPr>
        <w:t>пенсии</w:t>
      </w:r>
      <w:r>
        <w:t xml:space="preserve"> при смене банка. Соответствующий приказ за подписью министра труда и социальной защиты РФ Антона Котякова опубликован на официальном интернет-портале правовой информации и вступил в силу.</w:t>
      </w:r>
    </w:p>
    <w:p w14:paraId="03000000">
      <w:pPr>
        <w:pStyle w:val="Style_2"/>
      </w:pPr>
      <w:r>
        <w:t xml:space="preserve">Согласно приказу, изменения вносятся в 115 пункт правил выплаты </w:t>
      </w:r>
      <w:r>
        <w:rPr>
          <w:b w:val="1"/>
        </w:rPr>
        <w:t>пенсий</w:t>
      </w:r>
      <w:r>
        <w:t>.</w:t>
      </w:r>
    </w:p>
    <w:p w14:paraId="04000000">
      <w:pPr>
        <w:pStyle w:val="Style_2"/>
      </w:pPr>
      <w:r>
        <w:t xml:space="preserve">"Внести в правила выплаты </w:t>
      </w:r>
      <w:r>
        <w:rPr>
          <w:b w:val="1"/>
        </w:rPr>
        <w:t>пенсий</w:t>
      </w:r>
      <w:r>
        <w:t>, осуществления контроля за их выплатой изменение, дополнив пункт 115 словами "(с сохранением по его просьбе даты доставки при переходе из одной кредитной организации в другую)", - говорится в документе.</w:t>
      </w:r>
    </w:p>
    <w:p w14:paraId="05000000">
      <w:pPr>
        <w:pStyle w:val="Style_2"/>
      </w:pPr>
      <w:r>
        <w:t xml:space="preserve">В июле Минтруд предложил по желанию получателя сохранять дату доставки </w:t>
      </w:r>
      <w:r>
        <w:rPr>
          <w:b w:val="1"/>
        </w:rPr>
        <w:t>пенсии</w:t>
      </w:r>
      <w:r>
        <w:t xml:space="preserve"> при смене кредитной организации. В ведомстве тогда уточнили, что если раньше при изменении кредитной организации, в которой </w:t>
      </w:r>
      <w:r>
        <w:rPr>
          <w:b w:val="1"/>
        </w:rPr>
        <w:t>пенсионер</w:t>
      </w:r>
      <w:r>
        <w:t xml:space="preserve"> получал </w:t>
      </w:r>
      <w:r>
        <w:rPr>
          <w:b w:val="1"/>
        </w:rPr>
        <w:t>пенсию</w:t>
      </w:r>
      <w:r>
        <w:t xml:space="preserve">, дата получения средств также могла измениться, то, согласно подготовленному проекту приказа, дата получения </w:t>
      </w:r>
      <w:r>
        <w:rPr>
          <w:b w:val="1"/>
        </w:rPr>
        <w:t>пенсии</w:t>
      </w:r>
      <w:r>
        <w:t xml:space="preserve"> останется по желанию гражданина прежней.</w:t>
      </w:r>
    </w:p>
    <w:p w14:paraId="06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Index"/>
    <w:basedOn w:val="Style_3"/>
    <w:link w:val="Style_6_ch"/>
  </w:style>
  <w:style w:styleId="Style_6_ch" w:type="character">
    <w:name w:val="Index"/>
    <w:basedOn w:val="Style_3_ch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Caption"/>
    <w:basedOn w:val="Style_3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3_ch"/>
    <w:link w:val="Style_10"/>
    <w:rPr>
      <w:i w:val="1"/>
      <w:sz w:val="24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List"/>
    <w:basedOn w:val="Style_2"/>
    <w:link w:val="Style_12_ch"/>
  </w:style>
  <w:style w:styleId="Style_12_ch" w:type="character">
    <w:name w:val="List"/>
    <w:basedOn w:val="Style_2_ch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Heading"/>
    <w:basedOn w:val="Style_3"/>
    <w:next w:val="Style_2"/>
    <w:link w:val="Style_2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2_ch" w:type="character">
    <w:name w:val="Heading"/>
    <w:basedOn w:val="Style_3_ch"/>
    <w:link w:val="Style_22"/>
    <w:rPr>
      <w:rFonts w:ascii="Liberation Sans" w:hAnsi="Liberation Sans"/>
      <w:sz w:val="28"/>
    </w:rPr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2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2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