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Российская газета, 30.09.2020, 09:55, Профсоюзы предложили отменить в России накопительную часть пенсии</w:t>
      </w:r>
    </w:p>
    <w:p w14:paraId="02000000">
      <w:pPr>
        <w:pStyle w:val="Style_2"/>
      </w:pPr>
      <w:r>
        <w:t xml:space="preserve">Исключить из системы государственного обязательного </w:t>
      </w:r>
      <w:r>
        <w:rPr>
          <w:b w:val="1"/>
        </w:rPr>
        <w:t>пенсионного страхования</w:t>
      </w:r>
      <w:r>
        <w:t xml:space="preserve"> накопительный компонент попросили премьер-министра правительства России Михаила Мишустина российские профсоюзы.</w:t>
      </w:r>
    </w:p>
    <w:p w14:paraId="03000000">
      <w:pPr>
        <w:pStyle w:val="Style_2"/>
      </w:pPr>
      <w:r>
        <w:t xml:space="preserve">В письме,которое опубликовано на сайте ФНПР, в частности, отмечается, что "при условии нахождения накопительного компонента в системе государственного </w:t>
      </w:r>
      <w:r>
        <w:rPr>
          <w:b w:val="1"/>
        </w:rPr>
        <w:t>пенсионного страхования</w:t>
      </w:r>
      <w:r>
        <w:t xml:space="preserve"> нужно руководствоваться едиными нормами, регулирующими межсубъектные отношения, а не применять для каждого элемента действующей системы отдельные подходы".</w:t>
      </w:r>
    </w:p>
    <w:p w14:paraId="04000000">
      <w:pPr>
        <w:pStyle w:val="Style_2"/>
      </w:pPr>
      <w:r>
        <w:t xml:space="preserve">Поэтому Федерация независимых профсоюзов России предлагает прекратить практику увеличения ожидаемого периода выплаты и решить вопрос о законодательном выведении накопительного компонента из системы государственного обязательного </w:t>
      </w:r>
      <w:r>
        <w:rPr>
          <w:b w:val="1"/>
        </w:rPr>
        <w:t>пенсионного страхования</w:t>
      </w:r>
      <w:r>
        <w:t>.</w:t>
      </w:r>
    </w:p>
    <w:p w14:paraId="05000000">
      <w:pPr>
        <w:pStyle w:val="Style_2"/>
      </w:pPr>
      <w:r>
        <w:t xml:space="preserve">Ожидаемый период выплаты </w:t>
      </w:r>
      <w:r>
        <w:rPr>
          <w:b w:val="1"/>
        </w:rPr>
        <w:t>накопительной пенсии</w:t>
      </w:r>
      <w:r>
        <w:t xml:space="preserve"> корректируется ежегодно. На 1 января 2021 ожидаемый период выплаты </w:t>
      </w:r>
      <w:r>
        <w:rPr>
          <w:b w:val="1"/>
        </w:rPr>
        <w:t>накопительной пенсии</w:t>
      </w:r>
      <w:r>
        <w:t xml:space="preserve"> составит 264 месяца. Это на 6 месяцев больше, чем было установлено на 2020 год.</w:t>
      </w:r>
    </w:p>
    <w:p w14:paraId="06000000">
      <w:pPr>
        <w:pStyle w:val="Style_2"/>
      </w:pPr>
      <w:r>
        <w:t xml:space="preserve">Как ранее поясняли "Российской газете" в </w:t>
      </w:r>
      <w:r>
        <w:rPr>
          <w:b w:val="1"/>
        </w:rPr>
        <w:t>Пенсионном фонде</w:t>
      </w:r>
      <w:r>
        <w:t xml:space="preserve"> России, средства </w:t>
      </w:r>
      <w:r>
        <w:rPr>
          <w:b w:val="1"/>
        </w:rPr>
        <w:t>пенсионных накоплений</w:t>
      </w:r>
      <w:r>
        <w:t xml:space="preserve"> можно получить в виде единовременной выплаты, срочной пенсионной выплаты или в виде </w:t>
      </w:r>
      <w:r>
        <w:rPr>
          <w:b w:val="1"/>
        </w:rPr>
        <w:t>накопительной пенсии</w:t>
      </w:r>
      <w:r>
        <w:t xml:space="preserve">, которая выплачивается пожизненно. В последнем случае для расчета ежемесячной выплаты общая сумма </w:t>
      </w:r>
      <w:r>
        <w:rPr>
          <w:b w:val="1"/>
        </w:rPr>
        <w:t>пенсионных накоплений</w:t>
      </w:r>
      <w:r>
        <w:t xml:space="preserve"> человека делится на период расчета </w:t>
      </w:r>
      <w:r>
        <w:rPr>
          <w:b w:val="1"/>
        </w:rPr>
        <w:t>накопительной пенсии</w:t>
      </w:r>
      <w:r>
        <w:t xml:space="preserve"> (ожидаемый период выплаты </w:t>
      </w:r>
      <w:r>
        <w:rPr>
          <w:b w:val="1"/>
        </w:rPr>
        <w:t>накопительной пенсии</w:t>
      </w:r>
      <w:r>
        <w:t>). На 2020 год он был установлен в 258 месяцев.</w:t>
      </w:r>
    </w:p>
    <w:p w14:paraId="07000000">
      <w:pPr>
        <w:pStyle w:val="Style_2"/>
      </w:pPr>
      <w:r>
        <w:t xml:space="preserve">За выплатой средств </w:t>
      </w:r>
      <w:r>
        <w:rPr>
          <w:b w:val="1"/>
        </w:rPr>
        <w:t>пенсионных накоплений</w:t>
      </w:r>
      <w:r>
        <w:t xml:space="preserve"> необходимо обращаться с соответствующим заявлением туда, где они формировались: либо в </w:t>
      </w:r>
      <w:r>
        <w:rPr>
          <w:b w:val="1"/>
        </w:rPr>
        <w:t>ПФР</w:t>
      </w:r>
      <w:r>
        <w:t xml:space="preserve">, либо в </w:t>
      </w:r>
      <w:r>
        <w:rPr>
          <w:b w:val="1"/>
        </w:rPr>
        <w:t>НПФ</w:t>
      </w:r>
      <w:r>
        <w:t xml:space="preserve"> (если </w:t>
      </w:r>
      <w:r>
        <w:rPr>
          <w:b w:val="1"/>
        </w:rPr>
        <w:t>пенсионные накопления</w:t>
      </w:r>
      <w:r>
        <w:t xml:space="preserve"> переданы в управление негосударственному </w:t>
      </w:r>
      <w:r>
        <w:rPr>
          <w:b w:val="1"/>
        </w:rPr>
        <w:t>пенсионному фонду</w:t>
      </w:r>
      <w:r>
        <w:t>).</w:t>
      </w:r>
    </w:p>
    <w:p w14:paraId="08000000">
      <w:pPr>
        <w:pStyle w:val="Style_2"/>
      </w:pPr>
      <w:r>
        <w:t xml:space="preserve">Размер </w:t>
      </w:r>
      <w:r>
        <w:rPr>
          <w:b w:val="1"/>
        </w:rPr>
        <w:t>накопительной пенсии</w:t>
      </w:r>
      <w:r>
        <w:t xml:space="preserve"> может ежегодно корректироваться с учетом поступивших взносов. Корректировка производится с 1 августа в беззаявительном порядке. Результаты корректировки зависят от поступления на лицевые счета граждан средств </w:t>
      </w:r>
      <w:r>
        <w:rPr>
          <w:b w:val="1"/>
        </w:rPr>
        <w:t>пенсионных накоплений</w:t>
      </w:r>
      <w:r>
        <w:t xml:space="preserve">, которые ранее не были учтены (например, появились вновь при уплате дополнительных </w:t>
      </w:r>
      <w:r>
        <w:rPr>
          <w:b w:val="1"/>
        </w:rPr>
        <w:t>страховых взносов</w:t>
      </w:r>
      <w:r>
        <w:t>), и от результатов их инвестирования.</w:t>
      </w:r>
    </w:p>
    <w:p w14:paraId="09000000">
      <w:pPr>
        <w:pStyle w:val="Style_2"/>
      </w:pPr>
      <w:r>
        <w:t xml:space="preserve">Также напомним, что с 2019 года, несмотря на изменения в пенсионном законодательстве, касающиеся возраста выхода на </w:t>
      </w:r>
      <w:r>
        <w:rPr>
          <w:b w:val="1"/>
        </w:rPr>
        <w:t>пенсию</w:t>
      </w:r>
      <w:r>
        <w:t xml:space="preserve">, граждане, у которых сформированы средства </w:t>
      </w:r>
      <w:r>
        <w:rPr>
          <w:b w:val="1"/>
        </w:rPr>
        <w:t>пенсионных накоплений</w:t>
      </w:r>
      <w:r>
        <w:t xml:space="preserve">, могут обратиться за их выплатой, как и раньше с 55 (женщины) и 60 лет (мужчины). Получить средства </w:t>
      </w:r>
      <w:r>
        <w:rPr>
          <w:b w:val="1"/>
        </w:rPr>
        <w:t>пенсионных накоплений</w:t>
      </w:r>
      <w:r>
        <w:t xml:space="preserve"> можно при достижении указанного возраста.</w:t>
      </w:r>
    </w:p>
    <w:p w14:paraId="0A000000">
      <w:pPr>
        <w:pStyle w:val="Style_2"/>
      </w:pPr>
      <w:r>
        <w:t xml:space="preserve">С 1 августа </w:t>
      </w:r>
      <w:r>
        <w:rPr>
          <w:b w:val="1"/>
        </w:rPr>
        <w:t>накопительные пенсии</w:t>
      </w:r>
      <w:r>
        <w:t xml:space="preserve"> повышены на 9,13%. </w:t>
      </w:r>
      <w:r>
        <w:rPr>
          <w:b w:val="1"/>
        </w:rPr>
        <w:t>Пенсии</w:t>
      </w:r>
      <w:r>
        <w:t xml:space="preserve"> выросли у 80 тысяч россиян.</w:t>
      </w:r>
    </w:p>
    <w:p w14:paraId="0B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List"/>
    <w:basedOn w:val="Style_2"/>
    <w:link w:val="Style_11_ch"/>
  </w:style>
  <w:style w:styleId="Style_11_ch" w:type="character">
    <w:name w:val="List"/>
    <w:basedOn w:val="Style_2_ch"/>
    <w:link w:val="Style_11"/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Index"/>
    <w:basedOn w:val="Style_3"/>
    <w:link w:val="Style_19_ch"/>
  </w:style>
  <w:style w:styleId="Style_19_ch" w:type="character">
    <w:name w:val="Index"/>
    <w:basedOn w:val="Style_3_ch"/>
    <w:link w:val="Style_19"/>
  </w:style>
  <w:style w:styleId="Style_20" w:type="paragraph">
    <w:name w:val="Caption"/>
    <w:basedOn w:val="Style_3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3_ch"/>
    <w:link w:val="Style_20"/>
    <w:rPr>
      <w:i w:val="1"/>
      <w:sz w:val="24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