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РБК, 22.09.2020, 13:54, Пенсионный фонд опроверг сообщения об угрозе приостановки выплаты пенсий</w:t>
      </w:r>
    </w:p>
    <w:p w14:paraId="02000000">
      <w:pPr>
        <w:pStyle w:val="Style_1"/>
      </w:pPr>
      <w:r>
        <w:t xml:space="preserve">Даже если пенсионер долго не снимает деньги со своей карты, ПФР не остановит выплаты, заверили в фонде. О риске такой ситуации ранее сообщали СМИ </w:t>
      </w:r>
    </w:p>
    <w:p w14:paraId="03000000">
      <w:pPr>
        <w:pStyle w:val="Style_1"/>
      </w:pPr>
      <w:r>
        <w:t>Пенсионный фонд опроверг сообщения о том, что пенсионерам могут приостановить выплаты, если они долго не снимают средства с карты. О такой угрозе сообщало агентство «Прайм» со ссылкой на руководителя отдела аналитических исследований Высшей школы управления финансами Михаила Когана.</w:t>
      </w:r>
    </w:p>
    <w:p w14:paraId="04000000">
      <w:pPr>
        <w:pStyle w:val="Style_1"/>
      </w:pPr>
      <w:r>
        <w:t>«Эта информация не соответствует действительности. Никакой приостановки выплат, если пенсионер в течение полугода не снимает средства с карты, не происходит», — сообщили РБК в ПФР.</w:t>
      </w:r>
    </w:p>
    <w:p w14:paraId="05000000">
      <w:pPr>
        <w:pStyle w:val="Style_1"/>
      </w:pPr>
      <w:r>
        <w:t>Коган в интервью «Прайму» говорил, что так закон защищает госфинансы от «лишних» трат в том случае, если пенсионер эмигрировал в другую страну или умер, а информация об этом не сразу попадала в Пенсионный фонд. Кроме того, утверждал Коган, «такое может произойти с гражданами, которые способны обойтись без подобных выплат от государства, к примеру, благодаря накоплениям или помощи детей».</w:t>
      </w:r>
    </w:p>
    <w:p w14:paraId="06000000">
      <w:pPr>
        <w:pStyle w:val="Style_1"/>
      </w:pPr>
      <w:r>
        <w:t xml:space="preserve">Минтруд ранее </w:t>
      </w:r>
      <w:r>
        <w:rPr>
          <w:strike w:val="0"/>
          <w:color w:val="000080"/>
          <w:u w:val="none"/>
        </w:rPr>
        <w:fldChar w:fldCharType="begin"/>
      </w:r>
      <w:r>
        <w:rPr>
          <w:strike w:val="0"/>
          <w:color w:val="000080"/>
          <w:u w:val="none"/>
        </w:rPr>
        <w:instrText>HYPERLINK "https://www.rbc.ru/rbcfreenews/5f5fe5659a79471b17fb1613"</w:instrText>
      </w:r>
      <w:r>
        <w:rPr>
          <w:strike w:val="0"/>
          <w:color w:val="000080"/>
          <w:u w:val="none"/>
        </w:rPr>
        <w:fldChar w:fldCharType="separate"/>
      </w:r>
      <w:r>
        <w:rPr>
          <w:strike w:val="0"/>
          <w:color w:val="000080"/>
          <w:u w:val="none"/>
        </w:rPr>
        <w:t>сообщал</w:t>
      </w:r>
      <w:r>
        <w:rPr>
          <w:strike w:val="0"/>
          <w:color w:val="000080"/>
          <w:u w:val="none"/>
        </w:rPr>
        <w:fldChar w:fldCharType="end"/>
      </w:r>
      <w:r>
        <w:t>, что среднегодовой размер страховой пенсии по старости для неработающих пенсионеров в 2021 году составит 17 443 руб. Это следует из проекта бюджета Пенсионного фонда. Индексация страховых пенсий для неработающих пенсионеров предусмотрена на уровне 6,3%, а социальных пенсий — на уровне 2,6%. Всего в 2021 году Пенсионный фонд должен обеспечить выплату пенсий для 43 млн человек.</w:t>
      </w:r>
    </w:p>
    <w:p w14:paraId="07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Caption"/>
    <w:basedOn w:val="Style_2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2_ch"/>
    <w:link w:val="Style_8"/>
    <w:rPr>
      <w:i w:val="1"/>
      <w:sz w:val="24"/>
    </w:rPr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"/>
    <w:basedOn w:val="Style_2"/>
    <w:next w:val="Style_1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2_ch"/>
    <w:link w:val="Style_10"/>
    <w:rPr>
      <w:rFonts w:ascii="Liberation Sans" w:hAnsi="Liberation San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2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1"/>
    <w:link w:val="Style_19_ch"/>
  </w:style>
  <w:style w:styleId="Style_19_ch" w:type="character">
    <w:name w:val="List"/>
    <w:basedOn w:val="Style_1_ch"/>
    <w:link w:val="Style_19"/>
  </w:style>
  <w:style w:styleId="Style_20" w:type="paragraph">
    <w:name w:val="Index"/>
    <w:basedOn w:val="Style_2"/>
    <w:link w:val="Style_20_ch"/>
  </w:style>
  <w:style w:styleId="Style_20_ch" w:type="character">
    <w:name w:val="Index"/>
    <w:basedOn w:val="Style_2_ch"/>
    <w:link w:val="Style_20"/>
  </w:style>
  <w:style w:styleId="Style_21" w:type="paragraph">
    <w:name w:val="toc 5"/>
    <w:next w:val="Style_2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