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</w:pPr>
      <w:r>
        <w:t>Семьям стало проще тратить средства материнского капитала на образование детей</w:t>
      </w:r>
    </w:p>
    <w:p w14:paraId="03000000">
      <w:pPr>
        <w:pStyle w:val="Style_1"/>
      </w:pPr>
      <w:r>
        <w:t xml:space="preserve">21.09.2020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Пенсионный фонд России заключил соглашения об информационном обмене с учебными заведениями по всей стране, чтобы родители могли распоряжаться материнским капиталом на образование детей быстро и просто, без подачи документов из учебных организаций в отделения ПФР.</w:t>
      </w:r>
    </w:p>
    <w:p w14:paraId="05000000">
      <w:pPr>
        <w:pStyle w:val="Style_2"/>
      </w:pPr>
      <w:r>
        <w:t>Ранее родители, которые принимали решение о распоряжении средствами материнского капитала на образование детей, должны были после подачи соответствующего заявления также предоставить копию договора из учебного заведения об оказании платных образовательных услуг. Теперь, если с учебной организацией заключено соглашение, родителям нужно просто подать заявление о распоряжении маткапиталом, а ПФР сам запросит документы об оказании услуг у учебного заведения путем информационного межведомственного взаимодействия.</w:t>
      </w:r>
    </w:p>
    <w:p w14:paraId="06000000">
      <w:pPr>
        <w:pStyle w:val="Style_2"/>
      </w:pPr>
      <w:r>
        <w:t>Такая система значительно упрощает порядок распоряжения средствами маткапитала на образование детей. На данный момент заключено более 300 соглашений по всей России, и этот список учебных заведений будет ежемесячно пополняться. С полным списком образовательных организаций, с которыми заключено соглашение, можно ознакомиться здесь.</w:t>
      </w:r>
    </w:p>
    <w:p w14:paraId="07000000">
      <w:pPr>
        <w:pStyle w:val="Style_2"/>
      </w:pPr>
      <w:r>
        <w:t>В дальнейшем Пенсионный фонд планирует заключить более полутора тысяч соглашений с учебными заведениями по всей России.</w:t>
      </w:r>
    </w:p>
    <w:p w14:paraId="08000000">
      <w:pPr>
        <w:pStyle w:val="Style_2"/>
      </w:pPr>
      <w:r>
        <w:t>Напомним, что направить материнский капитал на образование любого из детей можно, когда второму, третьему ребенку или последующим детям исполнится три года (за исключением дошкольного образования- по этому направлению материнским капиталом можно распорядиться сразу после рождения ребенка, который дает право на сертификат). На дату начала обучения ребенок должен быть не старше 25 лет, а учебная организация должна находиться на территории России и иметь лицензию на оказание образовательных услуг.</w:t>
      </w:r>
    </w:p>
    <w:p w14:paraId="09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Index"/>
    <w:basedOn w:val="Style_1"/>
    <w:link w:val="Style_7_ch"/>
  </w:style>
  <w:style w:styleId="Style_7_ch" w:type="character">
    <w:name w:val="Index"/>
    <w:basedOn w:val="Style_1_ch"/>
    <w:link w:val="Style_7"/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Heading"/>
    <w:basedOn w:val="Style_1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1_ch"/>
    <w:link w:val="Style_9"/>
    <w:rPr>
      <w:rFonts w:ascii="Liberation Sans" w:hAnsi="Liberation Sans"/>
      <w:sz w:val="28"/>
    </w:rPr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List"/>
    <w:basedOn w:val="Style_2"/>
    <w:link w:val="Style_11_ch"/>
  </w:style>
  <w:style w:styleId="Style_11_ch" w:type="character">
    <w:name w:val="List"/>
    <w:basedOn w:val="Style_2_ch"/>
    <w:link w:val="Style_11"/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Caption"/>
    <w:basedOn w:val="Style_1"/>
    <w:link w:val="Style_14_ch"/>
    <w:pPr>
      <w:spacing w:after="120" w:before="120"/>
      <w:ind/>
    </w:pPr>
    <w:rPr>
      <w:i w:val="1"/>
      <w:sz w:val="24"/>
    </w:rPr>
  </w:style>
  <w:style w:styleId="Style_14_ch" w:type="character">
    <w:name w:val="Caption"/>
    <w:basedOn w:val="Style_1_ch"/>
    <w:link w:val="Style_14"/>
    <w:rPr>
      <w:i w:val="1"/>
      <w:sz w:val="24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1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1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