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Аргументы и Факты, 16.09.2020, 09:10, 6 новшеств маткапитала. Как изменилась программа в 2020 г.</w:t>
      </w:r>
    </w:p>
    <w:p w14:paraId="02000000">
      <w:pPr>
        <w:pStyle w:val="Style_2"/>
      </w:pPr>
      <w:r>
        <w:t xml:space="preserve">Маткапитал стартовал в России в 2007 г. с суммы 250 тыс. руб. для семей, в которых родился второй ребёнок. За прошедшие годы программа сильно изменилась, причём самые глобальные перемены произошли в этом году. «АиФ» собрал 6 новшеств </w:t>
      </w:r>
      <w:r>
        <w:rPr>
          <w:b w:val="1"/>
        </w:rPr>
        <w:t>материнского капитала</w:t>
      </w:r>
      <w:r>
        <w:t xml:space="preserve"> 2020 г.</w:t>
      </w:r>
    </w:p>
    <w:p w14:paraId="03000000">
      <w:pPr>
        <w:pStyle w:val="Style_2"/>
      </w:pPr>
      <w:r>
        <w:t>1. Не только на второго, но и на первого</w:t>
      </w:r>
    </w:p>
    <w:p w14:paraId="04000000">
      <w:pPr>
        <w:pStyle w:val="Style_2"/>
      </w:pPr>
      <w:r>
        <w:t>Если раньше действие госпрограммы распространялось только на семьи, в которых родился или был усыновлён второй ребёнок (или любой следующий, если маткапитал не оформлялся), то теперь сертификат положен и на первого малыша. То есть семьи, в которых начиная с 1 января 2020 г. появился первенец, также имеют право на маткапитал. Действовать данные условия госпрограммы будут до конца 2026 г. – именно такой срок установлен в действующем законодательстве.</w:t>
      </w:r>
    </w:p>
    <w:p w14:paraId="05000000">
      <w:pPr>
        <w:pStyle w:val="Style_2"/>
      </w:pPr>
      <w:r>
        <w:t>2. Сумма – в 2,5 раза больше</w:t>
      </w:r>
    </w:p>
    <w:p w14:paraId="06000000">
      <w:pPr>
        <w:pStyle w:val="Style_2"/>
      </w:pPr>
      <w:r>
        <w:t>Второе новшество программы – возобновление индексации маткапитала. На протяжении 5 лет, с 2015 по 2019 г., его сумма составляла 453 026 руб. После индексации с 1 января 2020 г. она выросла до 466 617 руб. Именно столько теперь получают семьи, в которых родился первый малыш. Мало того, для семей, в которых с 2020 г. появился второй ребёнок, маткапитал дополнительно увеличивается на 150 тыс. руб. – до 616 617 руб.</w:t>
      </w:r>
    </w:p>
    <w:p w14:paraId="07000000">
      <w:pPr>
        <w:pStyle w:val="Style_2"/>
      </w:pPr>
      <w:r>
        <w:t>Если сравнить эту сумму с той, которую получали семьи со вторым ребёнком в момент введения программы (250 тыс. руб.), получится, что за 13 лет прибавка составила 366 тыс. руб. Сумма господдержки выросла в 2,5 раза. В ближайшие годы маткапитал также будет ежегодно расти на уровень инфляции.</w:t>
      </w:r>
    </w:p>
    <w:p w14:paraId="08000000">
      <w:pPr>
        <w:pStyle w:val="Style_2"/>
      </w:pPr>
      <w:r>
        <w:t>3. Заявление писать не нужно</w:t>
      </w:r>
    </w:p>
    <w:p w14:paraId="09000000">
      <w:pPr>
        <w:pStyle w:val="Style_2"/>
      </w:pPr>
      <w:r>
        <w:t xml:space="preserve">Ещё одно фундаментальное изменение программы – с 15 апреля 2020 г. сертификат на маткапитал оформляется авто­матически. Приходить в </w:t>
      </w:r>
      <w:r>
        <w:rPr>
          <w:b w:val="1"/>
        </w:rPr>
        <w:t>ПФР</w:t>
      </w:r>
      <w:r>
        <w:t xml:space="preserve"> и подавать заявление больше нет необходимости, потому что работает система взаимодейст­вия между государственными ведомствами. Сведения о появлении ребёнка поступают в </w:t>
      </w:r>
      <w:r>
        <w:rPr>
          <w:b w:val="1"/>
        </w:rPr>
        <w:t>Пенсионный фонд</w:t>
      </w:r>
      <w:r>
        <w:t xml:space="preserve"> из органов ЗАГСа, потом </w:t>
      </w:r>
      <w:r>
        <w:rPr>
          <w:b w:val="1"/>
        </w:rPr>
        <w:t>ПФР</w:t>
      </w:r>
      <w:r>
        <w:t xml:space="preserve"> оформляет сертификат и отправляет об этом уведомление маме малыша в её личный кабинет на сайте </w:t>
      </w:r>
      <w:r>
        <w:rPr>
          <w:b w:val="1"/>
        </w:rPr>
        <w:t>ПФР</w:t>
      </w:r>
      <w:r>
        <w:t xml:space="preserve"> или на портале госуслуг. Приходить за самим сертификатом тоже не надо, по­скольку он оформ­ляется в форме электронного документа. Цифровая версия сертификата включает в себя те же сведения, которые раньше были в бумажном сертификате.</w:t>
      </w:r>
    </w:p>
    <w:p w14:paraId="0A000000">
      <w:pPr>
        <w:pStyle w:val="Style_2"/>
      </w:pPr>
      <w:r>
        <w:t>4. Кредит на жильё – удобнее</w:t>
      </w:r>
    </w:p>
    <w:p w14:paraId="0B000000">
      <w:pPr>
        <w:pStyle w:val="Style_2"/>
      </w:pPr>
      <w:r>
        <w:t xml:space="preserve">Получить кредит на покупку дома или квартиры при использовании маткапитала теперь тоже стало удобнее. Подать заявление о распоряжении средствами маткапитала с привлечением кредитных средств с 15 апреля 2020 г. можно непосредственно в банке, в котором открывается кредит. То есть вместо двух обращений – в банк и </w:t>
      </w:r>
      <w:r>
        <w:rPr>
          <w:b w:val="1"/>
        </w:rPr>
        <w:t>Пенсионный фонд</w:t>
      </w:r>
      <w:r>
        <w:t xml:space="preserve">, как было раньше, – семье достаточно обратиться только в банк, где одновременно оформ­ляется кредит и подаётся заявление на погашение кредита или упла­ту первого взноса. Заявления и необходимые документы банки передают территориальным органам </w:t>
      </w:r>
      <w:r>
        <w:rPr>
          <w:b w:val="1"/>
        </w:rPr>
        <w:t>ПФР</w:t>
      </w:r>
      <w:r>
        <w:t xml:space="preserve"> по электронным каналам. Для этого отделениями </w:t>
      </w:r>
      <w:r>
        <w:rPr>
          <w:b w:val="1"/>
        </w:rPr>
        <w:t>Пенсионного фонда</w:t>
      </w:r>
      <w:r>
        <w:t xml:space="preserve"> России по всей стране были заключены соглашения об информационном обмене с банками, которые обладают разветвлённой сетью отделений и предоставляют семь­ям кредиты с господдержкой.</w:t>
      </w:r>
    </w:p>
    <w:p w14:paraId="0C000000">
      <w:pPr>
        <w:pStyle w:val="Style_2"/>
      </w:pPr>
      <w:r>
        <w:t>5. Дом в садовом товариществе</w:t>
      </w:r>
    </w:p>
    <w:p w14:paraId="0D000000">
      <w:pPr>
        <w:pStyle w:val="Style_2"/>
      </w:pPr>
      <w:r>
        <w:t xml:space="preserve">С начала действия программы маткапитала постоянно расширялись возможности его использования. 12 марта 2020 г. вступил в силу закон, который разрешает направлять маткапитал в том числе на строительство или реконструкцию жилого дома на садовом участке. «Если садовый дом был построен ранее, то в соответствии с нормами, которые регламентируют порядок признания домов жилыми, возможно проведение его реконструкции с использованием средств маткапитала, – уточняют в </w:t>
      </w:r>
      <w:r>
        <w:rPr>
          <w:b w:val="1"/>
        </w:rPr>
        <w:t>ПФР</w:t>
      </w:r>
      <w:r>
        <w:t xml:space="preserve">. – В случае если строительство или реконструкция дома были начаты до рождения второго ребёнка, семья также имеет право на получение компенсации. Закон упрощает и порядок подачи заявления на расходование маткапитала. От семей не требуются документы, доказывающие право собственности на земельные участки, так как сведения о них могут быть запрошены </w:t>
      </w:r>
      <w:r>
        <w:rPr>
          <w:b w:val="1"/>
        </w:rPr>
        <w:t>Пенсионным фондом</w:t>
      </w:r>
      <w:r>
        <w:t xml:space="preserve"> в рамках межведомственного взаимодействия».</w:t>
      </w:r>
    </w:p>
    <w:p w14:paraId="0E000000">
      <w:pPr>
        <w:pStyle w:val="Style_2"/>
      </w:pPr>
      <w:r>
        <w:t>6. Ежемесячная выплата – большему количеству семей</w:t>
      </w:r>
    </w:p>
    <w:p w14:paraId="0F000000">
      <w:pPr>
        <w:pStyle w:val="Style_2"/>
      </w:pPr>
      <w:r>
        <w:t>В 2018 г. у семей с низкими доходами, в которых родился второй малыш, появилась возможность получать ежемесячные выплаты из маткапитала в размере регионального прожиточного минимума ребёнка. Сейчас это в среднем по стране 11 тыс. руб. в месяц. Выплата предоставляется до достижения ребёнком возраста 3 лет. Но если раньше такую выплату предоставляли семьям со средне­душевым доходом меньше 1,5 региональных прожиточных минимумов трудоспособного населения, то с этого года данный порог был увеличен до 2 минимумов. То есть теперь большее количество семей сможет получить финансовую поддержку на текущие расходы.</w:t>
      </w:r>
    </w:p>
    <w:p w14:paraId="10000000">
      <w:pPr>
        <w:pStyle w:val="Style_2"/>
      </w:pPr>
      <w:r>
        <w:t>Госпомощь</w:t>
      </w:r>
    </w:p>
    <w:p w14:paraId="11000000">
      <w:pPr>
        <w:pStyle w:val="Style_2"/>
      </w:pPr>
      <w:r>
        <w:t>«Летние» выплаты на детей</w:t>
      </w:r>
    </w:p>
    <w:p w14:paraId="12000000">
      <w:pPr>
        <w:pStyle w:val="Style_2"/>
      </w:pPr>
      <w:r>
        <w:t>30 сентября заканчивается срок подачи заявлений на получение двух единовременных выплат: на детей от 3 до 16 лет и детей от 0 до 16 лет.</w:t>
      </w:r>
    </w:p>
    <w:p w14:paraId="13000000">
      <w:pPr>
        <w:pStyle w:val="Style_2"/>
      </w:pPr>
      <w:r>
        <w:t xml:space="preserve">Первую начали выдавать с 1 июня, вторую – с 1 июля в качестве поддержки семей в период коронавирусной пандемии. Размер выплат – 10 тыс. руб. на каждого ребёнка. По­этому те семьи, которые имеют право на выплаты, но по каким-то причинам до сих пор не подали заявление, могут успеть сделать это дистанционно – через портал «Госуслуги». Заявление можно также подать в любую клиентскую службу </w:t>
      </w:r>
      <w:r>
        <w:rPr>
          <w:b w:val="1"/>
        </w:rPr>
        <w:t>ПФР</w:t>
      </w:r>
      <w:r>
        <w:t xml:space="preserve"> или МФЦ. Впрочем, большинство семей получили данные выплаты.</w:t>
      </w:r>
    </w:p>
    <w:p w14:paraId="14000000">
      <w:pPr>
        <w:pStyle w:val="Style_2"/>
      </w:pPr>
      <w:r>
        <w:t xml:space="preserve">По данным </w:t>
      </w:r>
      <w:r>
        <w:rPr>
          <w:b w:val="1"/>
        </w:rPr>
        <w:t>Пенсионного фонда</w:t>
      </w:r>
      <w:r>
        <w:t xml:space="preserve"> России, к 1 сентября 2020 г. выдано 17,6 млн «июньских» выплат на детей от 3 до 16 лет и 27,4 млн «июльских» на детей от 0 до 16 лет. Кроме того, семьи с детьми от 0 до 3 лет этим летом имели право на ежемесячные выплаты по 5 тыс. руб. – за май, июнь и июль. Таких выплат выдано 4,9 млн.</w:t>
      </w:r>
    </w:p>
    <w:p w14:paraId="15000000">
      <w:pPr>
        <w:pStyle w:val="Style_2"/>
      </w:pPr>
      <w:r>
        <w:t>Все «летние» выплаты на детей в связи с коронавирусом начислялись семьям вне зависимости от их доходов. И получить средства можно было в упрощённом порядке, просто подав заявление на портале «Госуслуги» одному из родителей, указанных в свидетельстве о рождении ребёнка. Выплаты на детей в связи с ­коронакризисом стали хорошей поддержкой для семей. Фото: Shutterstock.com</w:t>
      </w:r>
    </w:p>
    <w:p w14:paraId="16000000">
      <w:pPr>
        <w:pStyle w:val="Style_2"/>
      </w:pPr>
      <w:r>
        <w:t>Рекорд года</w:t>
      </w:r>
    </w:p>
    <w:p w14:paraId="17000000">
      <w:pPr>
        <w:pStyle w:val="Style_2"/>
      </w:pPr>
      <w:r>
        <w:t>10-миллионный сертификат получен автоматически</w:t>
      </w:r>
    </w:p>
    <w:p w14:paraId="18000000">
      <w:pPr>
        <w:pStyle w:val="Style_2"/>
      </w:pPr>
      <w:r>
        <w:t xml:space="preserve">В мае этого года </w:t>
      </w:r>
      <w:r>
        <w:rPr>
          <w:b w:val="1"/>
        </w:rPr>
        <w:t>ПФР</w:t>
      </w:r>
      <w:r>
        <w:t xml:space="preserve"> оформил 10-миллионный сертификат на маткапитал. Обладателем юбилейного документа стала семья Чегодаевых из посёлка Ува Удмуртской Республики. У них старшей дочке исполнилось 4 года, младший сын родился в марте этого года, поэтому сертификат на </w:t>
      </w:r>
      <w:r>
        <w:rPr>
          <w:b w:val="1"/>
        </w:rPr>
        <w:t>материнский капитал</w:t>
      </w:r>
      <w:r>
        <w:t xml:space="preserve"> семье был выдан в новом, повышенном размере – 616 617 руб. Оформление 10-миллионного документа тоже прошло по-новому – семье даже не понадобилось обращаться за ним в </w:t>
      </w:r>
      <w:r>
        <w:rPr>
          <w:b w:val="1"/>
        </w:rPr>
        <w:t>Пенсионный фонд</w:t>
      </w:r>
      <w:r>
        <w:t>.</w:t>
      </w:r>
    </w:p>
    <w:p w14:paraId="19000000">
      <w:pPr>
        <w:pStyle w:val="Style_2"/>
      </w:pPr>
      <w:r>
        <w:t>«Мне на электронную почту пришло уведомление от Госуслуг, – рассказывает молодая мама Наталья Чегодаева. – Я зашла в свой кабинет на портале и увидела сообщение, что на меня оформлен маткапитал. Никакого заявления не подавала, всё было сделано автоматически. То есть получила сертификат, не выходя из дома. Это очень удобно, особенно когда надо постоянно находиться рядом с грудным ребёнком».</w:t>
      </w:r>
    </w:p>
    <w:p w14:paraId="1A000000">
      <w:pPr>
        <w:pStyle w:val="Style_2"/>
      </w:pPr>
      <w:r>
        <w:t>На что потратить маткапитал, Чегодаевы пока не решили. При этом в дальнейшем мама сможет также дистанционно подавать заявление о распоряжении средствами на выбранные цели через свой личный кабинет и контролировать остаток средств.</w:t>
      </w:r>
    </w:p>
    <w:p w14:paraId="1B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List"/>
    <w:basedOn w:val="Style_2"/>
    <w:link w:val="Style_8_ch"/>
  </w:style>
  <w:style w:styleId="Style_8_ch" w:type="character">
    <w:name w:val="List"/>
    <w:basedOn w:val="Style_2_ch"/>
    <w:link w:val="Style_8"/>
  </w:style>
  <w:style w:styleId="Style_9" w:type="paragraph">
    <w:name w:val="heading 3"/>
    <w:next w:val="Style_3"/>
    <w:link w:val="Style_9_ch"/>
    <w:uiPriority w:val="9"/>
    <w:qFormat/>
    <w:pPr>
      <w:ind/>
      <w:outlineLvl w:val="2"/>
    </w:pPr>
    <w:rPr>
      <w:rFonts w:ascii="XO Thames" w:hAnsi="XO Thames"/>
      <w:b w:val="1"/>
      <w:i w:val="1"/>
      <w:color w:val="000000"/>
    </w:rPr>
  </w:style>
  <w:style w:styleId="Style_9_ch" w:type="character">
    <w:name w:val="heading 3"/>
    <w:link w:val="Style_9"/>
    <w:rPr>
      <w:rFonts w:ascii="XO Thames" w:hAnsi="XO Thames"/>
      <w:b w:val="1"/>
      <w:i w:val="1"/>
      <w:color w:val="000000"/>
    </w:rPr>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10" w:type="paragraph">
    <w:name w:val="toc 3"/>
    <w:next w:val="Style_3"/>
    <w:link w:val="Style_10_ch"/>
    <w:uiPriority w:val="39"/>
    <w:pPr>
      <w:ind w:firstLine="0" w:left="400"/>
    </w:pPr>
  </w:style>
  <w:style w:styleId="Style_10_ch" w:type="character">
    <w:name w:val="toc 3"/>
    <w:link w:val="Style_10"/>
  </w:style>
  <w:style w:styleId="Style_11" w:type="paragraph">
    <w:name w:val="Heading"/>
    <w:basedOn w:val="Style_3"/>
    <w:next w:val="Style_2"/>
    <w:link w:val="Style_11_ch"/>
    <w:pPr>
      <w:keepNext w:val="1"/>
      <w:spacing w:after="120" w:before="240"/>
      <w:ind/>
    </w:pPr>
    <w:rPr>
      <w:rFonts w:ascii="Liberation Sans" w:hAnsi="Liberation Sans"/>
      <w:sz w:val="28"/>
    </w:rPr>
  </w:style>
  <w:style w:styleId="Style_11_ch" w:type="character">
    <w:name w:val="Heading"/>
    <w:basedOn w:val="Style_3_ch"/>
    <w:link w:val="Style_11"/>
    <w:rPr>
      <w:rFonts w:ascii="Liberation Sans" w:hAnsi="Liberation Sans"/>
      <w:sz w:val="28"/>
    </w:rPr>
  </w:style>
  <w:style w:styleId="Style_12" w:type="paragraph">
    <w:name w:val="heading 5"/>
    <w:next w:val="Style_3"/>
    <w:link w:val="Style_12_ch"/>
    <w:uiPriority w:val="9"/>
    <w:qFormat/>
    <w:pPr>
      <w:spacing w:after="120" w:before="120"/>
      <w:ind/>
      <w:outlineLvl w:val="4"/>
    </w:pPr>
    <w:rPr>
      <w:rFonts w:ascii="XO Thames" w:hAnsi="XO Thames"/>
      <w:b w:val="1"/>
      <w:color w:val="000000"/>
      <w:sz w:val="22"/>
    </w:rPr>
  </w:style>
  <w:style w:styleId="Style_12_ch" w:type="character">
    <w:name w:val="heading 5"/>
    <w:link w:val="Style_12"/>
    <w:rPr>
      <w:rFonts w:ascii="XO Thames" w:hAnsi="XO Thames"/>
      <w:b w:val="1"/>
      <w:color w:val="000000"/>
      <w:sz w:val="22"/>
    </w:rPr>
  </w:style>
  <w:style w:styleId="Style_13" w:type="paragraph">
    <w:name w:val="Index"/>
    <w:basedOn w:val="Style_3"/>
    <w:link w:val="Style_13_ch"/>
  </w:style>
  <w:style w:styleId="Style_13_ch" w:type="character">
    <w:name w:val="Index"/>
    <w:basedOn w:val="Style_3_ch"/>
    <w:link w:val="Style_13"/>
  </w:style>
  <w:style w:styleId="Style_14" w:type="paragraph">
    <w:name w:val="heading 1"/>
    <w:next w:val="Style_3"/>
    <w:link w:val="Style_14_ch"/>
    <w:uiPriority w:val="9"/>
    <w:qFormat/>
    <w:pPr>
      <w:spacing w:after="120" w:before="120"/>
      <w:ind/>
      <w:outlineLvl w:val="0"/>
    </w:pPr>
    <w:rPr>
      <w:rFonts w:ascii="XO Thames" w:hAnsi="XO Thames"/>
      <w:b w:val="1"/>
      <w:sz w:val="32"/>
    </w:rPr>
  </w:style>
  <w:style w:styleId="Style_14_ch" w:type="character">
    <w:name w:val="heading 1"/>
    <w:link w:val="Style_14"/>
    <w:rPr>
      <w:rFonts w:ascii="XO Thames" w:hAnsi="XO Thames"/>
      <w:b w:val="1"/>
      <w:sz w:val="32"/>
    </w:rPr>
  </w:style>
  <w:style w:styleId="Style_15" w:type="paragraph">
    <w:name w:val="Hyperlink"/>
    <w:link w:val="Style_15_ch"/>
    <w:rPr>
      <w:color w:val="0000FF"/>
      <w:u w:val="single"/>
    </w:rPr>
  </w:style>
  <w:style w:styleId="Style_15_ch" w:type="character">
    <w:name w:val="Hyperlink"/>
    <w:link w:val="Style_15"/>
    <w:rPr>
      <w:color w:val="0000FF"/>
      <w:u w:val="single"/>
    </w:rPr>
  </w:style>
  <w:style w:styleId="Style_16" w:type="paragraph">
    <w:name w:val="Footnote"/>
    <w:link w:val="Style_16_ch"/>
    <w:pPr>
      <w:ind/>
      <w:jc w:val="left"/>
    </w:pPr>
    <w:rPr>
      <w:rFonts w:ascii="XO Thames" w:hAnsi="XO Thames"/>
      <w:sz w:val="22"/>
    </w:rPr>
  </w:style>
  <w:style w:styleId="Style_16_ch" w:type="character">
    <w:name w:val="Footnote"/>
    <w:link w:val="Style_16"/>
    <w:rPr>
      <w:rFonts w:ascii="XO Thames" w:hAnsi="XO Thames"/>
      <w:sz w:val="22"/>
    </w:rPr>
  </w:style>
  <w:style w:styleId="Style_17" w:type="paragraph">
    <w:name w:val="toc 1"/>
    <w:next w:val="Style_3"/>
    <w:link w:val="Style_17_ch"/>
    <w:uiPriority w:val="39"/>
    <w:pPr>
      <w:ind w:firstLine="0" w:left="0"/>
    </w:pPr>
    <w:rPr>
      <w:rFonts w:ascii="XO Thames" w:hAnsi="XO Thames"/>
      <w:b w:val="1"/>
    </w:rPr>
  </w:style>
  <w:style w:styleId="Style_17_ch" w:type="character">
    <w:name w:val="toc 1"/>
    <w:link w:val="Style_17"/>
    <w:rPr>
      <w:rFonts w:ascii="XO Thames" w:hAnsi="XO Thames"/>
      <w:b w:val="1"/>
    </w:rPr>
  </w:style>
  <w:style w:styleId="Style_18" w:type="paragraph">
    <w:name w:val="Header and Footer"/>
    <w:link w:val="Style_18_ch"/>
    <w:pPr>
      <w:spacing w:line="360" w:lineRule="auto"/>
      <w:ind/>
    </w:pPr>
    <w:rPr>
      <w:rFonts w:ascii="XO Thames" w:hAnsi="XO Thames"/>
      <w:sz w:val="20"/>
    </w:rPr>
  </w:style>
  <w:style w:styleId="Style_18_ch" w:type="character">
    <w:name w:val="Header and Footer"/>
    <w:link w:val="Style_18"/>
    <w:rPr>
      <w:rFonts w:ascii="XO Thames" w:hAnsi="XO Thames"/>
      <w:sz w:val="20"/>
    </w:rPr>
  </w:style>
  <w:style w:styleId="Style_19" w:type="paragraph">
    <w:name w:val="Caption"/>
    <w:basedOn w:val="Style_3"/>
    <w:link w:val="Style_19_ch"/>
    <w:pPr>
      <w:spacing w:after="120" w:before="120"/>
      <w:ind/>
    </w:pPr>
    <w:rPr>
      <w:i w:val="1"/>
      <w:sz w:val="24"/>
    </w:rPr>
  </w:style>
  <w:style w:styleId="Style_19_ch" w:type="character">
    <w:name w:val="Caption"/>
    <w:basedOn w:val="Style_3_ch"/>
    <w:link w:val="Style_19"/>
    <w:rPr>
      <w:i w:val="1"/>
      <w:sz w:val="24"/>
    </w:rPr>
  </w:style>
  <w:style w:styleId="Style_20" w:type="paragraph">
    <w:name w:val="toc 9"/>
    <w:next w:val="Style_3"/>
    <w:link w:val="Style_20_ch"/>
    <w:uiPriority w:val="39"/>
    <w:pPr>
      <w:ind w:firstLine="0" w:left="1600"/>
    </w:pPr>
  </w:style>
  <w:style w:styleId="Style_20_ch" w:type="character">
    <w:name w:val="toc 9"/>
    <w:link w:val="Style_20"/>
  </w:style>
  <w:style w:styleId="Style_21" w:type="paragraph">
    <w:name w:val="toc 8"/>
    <w:next w:val="Style_3"/>
    <w:link w:val="Style_21_ch"/>
    <w:uiPriority w:val="39"/>
    <w:pPr>
      <w:ind w:firstLine="0" w:left="1400"/>
    </w:pPr>
  </w:style>
  <w:style w:styleId="Style_21_ch" w:type="character">
    <w:name w:val="toc 8"/>
    <w:link w:val="Style_21"/>
  </w:style>
  <w:style w:styleId="Style_22" w:type="paragraph">
    <w:name w:val="toc 5"/>
    <w:next w:val="Style_3"/>
    <w:link w:val="Style_22_ch"/>
    <w:uiPriority w:val="39"/>
    <w:pPr>
      <w:ind w:firstLine="0" w:left="800"/>
    </w:pPr>
  </w:style>
  <w:style w:styleId="Style_22_ch" w:type="character">
    <w:name w:val="toc 5"/>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11"/>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11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