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Единая Россия» официальный сайт партии, 15.09.2020, 18:05, В «Единой России» проверят назначение увеличенного маткапитала в будущем году</w:t>
      </w:r>
    </w:p>
    <w:p w14:paraId="02000000">
      <w:pPr>
        <w:pStyle w:val="Style_2"/>
      </w:pPr>
      <w:r>
        <w:t>Ожидается, что сумма выплаты будет проиндексирована на 3,7%</w:t>
      </w:r>
    </w:p>
    <w:p w14:paraId="03000000">
      <w:pPr>
        <w:pStyle w:val="Style_2"/>
      </w:pPr>
      <w:r>
        <w:t xml:space="preserve">Минтруд заявил о намерении проиндексировать размер </w:t>
      </w:r>
      <w:r>
        <w:rPr>
          <w:b w:val="1"/>
        </w:rPr>
        <w:t>материнского капитала</w:t>
      </w:r>
      <w:r>
        <w:t xml:space="preserve"> в 2021 году. По словам координатора партийного проекта «Крепкая семья», первого зампреда комитета Госдумы по вопросам семьи, женщин и детей Ольги Окуневой, это важный шаг по имущественной поддержке семей с детьми на фоне неблагоприятной экономической ситуации.</w:t>
      </w:r>
    </w:p>
    <w:p w14:paraId="04000000">
      <w:pPr>
        <w:pStyle w:val="Style_2"/>
      </w:pPr>
      <w:r>
        <w:t xml:space="preserve">«Планируется, что </w:t>
      </w:r>
      <w:r>
        <w:rPr>
          <w:b w:val="1"/>
        </w:rPr>
        <w:t>материнский капитал</w:t>
      </w:r>
      <w:r>
        <w:t xml:space="preserve"> будет проиндексирован на 3,7% и составит 483 882 руб. на первого ребенка и 639 432 рубля на второго, если на первого семья его не получала. Размер доплаты на второго ребенка, если семья получала </w:t>
      </w:r>
      <w:r>
        <w:rPr>
          <w:b w:val="1"/>
        </w:rPr>
        <w:t>материнский капитал</w:t>
      </w:r>
      <w:r>
        <w:t>а на первого ребенка, составит 155 550 рублей. Это долгожданное для многих российских семей решение, учитывая, что был большой перерыв в индексациях с 2016 по 2019 год», - рассказала парламентарий.</w:t>
      </w:r>
    </w:p>
    <w:p w14:paraId="05000000">
      <w:pPr>
        <w:pStyle w:val="Style_2"/>
      </w:pPr>
      <w:r>
        <w:t xml:space="preserve">Она отметила, что </w:t>
      </w:r>
      <w:r>
        <w:rPr>
          <w:b w:val="1"/>
        </w:rPr>
        <w:t>материнский капитал</w:t>
      </w:r>
      <w:r>
        <w:t xml:space="preserve"> как мера по улучшению демографической ситуации за более чем десять лет хорошо себя зарекомендовала.</w:t>
      </w:r>
    </w:p>
    <w:p w14:paraId="06000000">
      <w:pPr>
        <w:pStyle w:val="Style_2"/>
      </w:pPr>
      <w:r>
        <w:t xml:space="preserve">«Важно, чтобы все семьи при рождении детей получили эту существенную помощь для улучшения уровня своей жизни и смогли это сделать максимально комфортно. Так, предложение наших экспертов о совершенствовании процедур автоматического продления льгот и пособий, в части информирования граждан о продлении ежемесячных выплат за счет </w:t>
      </w:r>
      <w:r>
        <w:rPr>
          <w:b w:val="1"/>
        </w:rPr>
        <w:t>материнского капитала</w:t>
      </w:r>
      <w:r>
        <w:t>, было включено в принятый Госдумой весной этого года правительственный закон. Активисты партпроекта «Крепкая семья» при работе с семьями, в том числе и на базе Семейных приемных, особое внимание уделяют вопросам соблюдения законодательства при его назначении и выплате», - подчеркнула Ольга Окунева. Она добавила, что в следующем году тема начислений уже проиндексированных сумм маткапитала будет в приоритете.</w:t>
      </w:r>
    </w:p>
    <w:p w14:paraId="07000000">
      <w:pPr>
        <w:pStyle w:val="Style_2"/>
      </w:pPr>
      <w:r>
        <w:t xml:space="preserve">Индексация маткапитала касается родителей детей, родившихся с 1 января 2021 года. С учетом прогноза рождаемости, право на получение выплат будет предоставлено 1,2 млн семей. В Минтруде отметили, что всего на </w:t>
      </w:r>
      <w:r>
        <w:rPr>
          <w:b w:val="1"/>
        </w:rPr>
        <w:t>материнский капитал</w:t>
      </w:r>
      <w:r>
        <w:t xml:space="preserve"> в 2021 году запланированы средства в размере 443,3 млрд рублей.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