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Аргументы и Факты, 16.09.2020, 09:10, Пять лет до пенсии. Какие льготы и гарантии положены предпенсионерам</w:t>
      </w:r>
    </w:p>
    <w:p w14:paraId="02000000">
      <w:pPr>
        <w:pStyle w:val="Style_2"/>
      </w:pPr>
      <w:r>
        <w:t>С прошлого года у пред</w:t>
      </w:r>
      <w:r>
        <w:rPr>
          <w:b w:val="1"/>
        </w:rPr>
        <w:t>пенсионеров</w:t>
      </w:r>
      <w:r>
        <w:t xml:space="preserve"> появились дополнительные трудовые права и гарантии. Как их получить? Куда обращаться? И что конкретно положено пред</w:t>
      </w:r>
      <w:r>
        <w:rPr>
          <w:b w:val="1"/>
        </w:rPr>
        <w:t>пенсионеру</w:t>
      </w:r>
      <w:r>
        <w:t>, если его увольняют, сокращают, если он не может найти новую работу и т. д.?</w:t>
      </w:r>
    </w:p>
    <w:p w14:paraId="03000000">
      <w:pPr>
        <w:pStyle w:val="Style_2"/>
      </w:pPr>
      <w:r>
        <w:t>Можно ли уволить пред</w:t>
      </w:r>
      <w:r>
        <w:rPr>
          <w:b w:val="1"/>
        </w:rPr>
        <w:t>пенсионера</w:t>
      </w:r>
      <w:r>
        <w:t>?</w:t>
      </w:r>
    </w:p>
    <w:p w14:paraId="04000000">
      <w:pPr>
        <w:pStyle w:val="Style_2"/>
      </w:pPr>
      <w:r>
        <w:t>В этом году вопросы защиты трудовых прав пред</w:t>
      </w:r>
      <w:r>
        <w:rPr>
          <w:b w:val="1"/>
        </w:rPr>
        <w:t>пенсионеров</w:t>
      </w:r>
      <w:r>
        <w:t xml:space="preserve"> стали особенно актуальны. Из-за пандемии предприятия и организации стали сокращать персонал, и под удар нередко попадали люди </w:t>
      </w:r>
      <w:r>
        <w:rPr>
          <w:b w:val="1"/>
        </w:rPr>
        <w:t>предпенсионного возраста</w:t>
      </w:r>
      <w:r>
        <w:t xml:space="preserve">. Какие законодательные гарантии у них есть? В 2018 г. в Уголовный кодекс РФ ввели ст. 144.1 «Необоснованный отказ в приёме на работу или необоснованное увольнение лица, достигшего </w:t>
      </w:r>
      <w:r>
        <w:rPr>
          <w:b w:val="1"/>
        </w:rPr>
        <w:t>предпенсионного возраста</w:t>
      </w:r>
      <w:r>
        <w:t xml:space="preserve">». По ней «необоснованный отказ в приёме на работу лица по мотивам достижения им </w:t>
      </w:r>
      <w:r>
        <w:rPr>
          <w:b w:val="1"/>
        </w:rPr>
        <w:t>предпенсионного возраста</w:t>
      </w:r>
      <w:r>
        <w:t>, а равно необоснованное увольнение с работы такого лица по тем же мотивам наказывается штрафом в размере до 200 тыс. руб. или в размере зарплаты или иного дохода осуждённого за период до 18 месяцев либо обязательными работами на срок до 360 часов». Если пред</w:t>
      </w:r>
      <w:r>
        <w:rPr>
          <w:b w:val="1"/>
        </w:rPr>
        <w:t>пенсионер</w:t>
      </w:r>
      <w:r>
        <w:t xml:space="preserve"> считает, что его уволили незаконно и необоснованно, ему стоит обратиться в труд­инспекцию, прокуратуру и суд. Работодатель имеет право уволить работника по соб­ственной инициативе только по основаниям, предусмотренным ст. 81 ТК РФ: ликвидация организации, сокращение численности или штата работников организации и др.</w:t>
      </w:r>
    </w:p>
    <w:p w14:paraId="05000000">
      <w:pPr>
        <w:pStyle w:val="Style_2"/>
      </w:pPr>
      <w:r>
        <w:t>Повышенное пособие по безработице</w:t>
      </w:r>
    </w:p>
    <w:p w14:paraId="06000000">
      <w:pPr>
        <w:pStyle w:val="Style_2"/>
      </w:pPr>
      <w:r>
        <w:t>В данный момент в связи с пандемией максимальный размер пособия по безработице увеличен до 12 130 руб. Но если для всех остальных граждан эта мера действует до конца этого года, то для пред</w:t>
      </w:r>
      <w:r>
        <w:rPr>
          <w:b w:val="1"/>
        </w:rPr>
        <w:t>пенсионеров</w:t>
      </w:r>
      <w:r>
        <w:t xml:space="preserve"> увеличенная сумма пособия сохранится и после 1 января 2021 г. Период выплаты пособия пред</w:t>
      </w:r>
      <w:r>
        <w:rPr>
          <w:b w:val="1"/>
        </w:rPr>
        <w:t>пенсионерам</w:t>
      </w:r>
      <w:r>
        <w:t xml:space="preserve"> тоже больше. Тем пред</w:t>
      </w:r>
      <w:r>
        <w:rPr>
          <w:b w:val="1"/>
        </w:rPr>
        <w:t>пенсионерам</w:t>
      </w:r>
      <w:r>
        <w:t>, кто не менее 26 недель состоял в трудовых отношениях, пособие по безработице начисляется так: в первые 3 месяца – 75% среднемесячного заработка, следующие 4 месяца – 60% заработка, в дальнейшем – 45%. При этом размер пособия не может быть выше максимальной величины (в 2020 г. – 12 130 руб.) и ниже минимальной (1500 руб.). За его оформлением необходимо обратиться в центр занятости по месту жительства, где вас поставят на учёт в качестве безработного и начислят выплату.</w:t>
      </w:r>
    </w:p>
    <w:p w14:paraId="07000000">
      <w:pPr>
        <w:pStyle w:val="Style_2"/>
      </w:pPr>
      <w:r>
        <w:t>Перезагрузка карьеры</w:t>
      </w:r>
    </w:p>
    <w:p w14:paraId="08000000">
      <w:pPr>
        <w:pStyle w:val="Style_2"/>
      </w:pPr>
      <w:r>
        <w:t>Если в центре занятости не могут подобрать работу по вашей специальности, возможно, вы сможете трудоустроиться после обучения. Специально для пред</w:t>
      </w:r>
      <w:r>
        <w:rPr>
          <w:b w:val="1"/>
        </w:rPr>
        <w:t>пенсионеров</w:t>
      </w:r>
      <w:r>
        <w:t xml:space="preserve"> государст­во разработало программу по переобучению и повышению квалификации. Она рассчитана как на безработных, так и на тех, кто имеет работу, но хочет стать более конкуренто­способным на рынке труда. Попасть в программу можно самостоятельно, обратившись в центр занятости, или через работодателя. Средний срок обучения – 3 месяца, в течение которых безработным пред</w:t>
      </w:r>
      <w:r>
        <w:rPr>
          <w:b w:val="1"/>
        </w:rPr>
        <w:t>пенсионерам</w:t>
      </w:r>
      <w:r>
        <w:t xml:space="preserve"> выплачивается стипендия в размере МРОТ, а работающим зарплата. При этом само обучение для пред</w:t>
      </w:r>
      <w:r>
        <w:rPr>
          <w:b w:val="1"/>
        </w:rPr>
        <w:t>пенсионеров</w:t>
      </w:r>
      <w:r>
        <w:t xml:space="preserve"> бесплатное.</w:t>
      </w:r>
    </w:p>
    <w:p w14:paraId="09000000">
      <w:pPr>
        <w:pStyle w:val="Style_2"/>
      </w:pPr>
      <w:r>
        <w:rPr>
          <w:b w:val="1"/>
        </w:rPr>
        <w:t>Пенсия</w:t>
      </w:r>
      <w:r>
        <w:t xml:space="preserve"> – досрочно</w:t>
      </w:r>
    </w:p>
    <w:p w14:paraId="0A000000">
      <w:pPr>
        <w:pStyle w:val="Style_2"/>
      </w:pPr>
      <w:r>
        <w:t>Если пред</w:t>
      </w:r>
      <w:r>
        <w:rPr>
          <w:b w:val="1"/>
        </w:rPr>
        <w:t>пенсионер</w:t>
      </w:r>
      <w:r>
        <w:t xml:space="preserve"> был уволен при ликвидации или по сокращению штата, а центр занятости так и не смог найти ему работу, он имеет право выйти на </w:t>
      </w:r>
      <w:r>
        <w:rPr>
          <w:b w:val="1"/>
        </w:rPr>
        <w:t>пенсию</w:t>
      </w:r>
      <w:r>
        <w:t xml:space="preserve"> на 2 года раньше. Как прописано в ст. 32 закона ­«О ­занятости…», делается это «по предложению органов службы занятости…». Поэтому сначала необходимо получить данное предложение в органах службы занятости, а затем при его наличии обратиться с заявлением о назначении досрочной </w:t>
      </w:r>
      <w:r>
        <w:rPr>
          <w:b w:val="1"/>
        </w:rPr>
        <w:t>пенсии</w:t>
      </w:r>
      <w:r>
        <w:t xml:space="preserve"> в Управление </w:t>
      </w:r>
      <w:r>
        <w:rPr>
          <w:b w:val="1"/>
        </w:rPr>
        <w:t>ПФР</w:t>
      </w:r>
      <w:r>
        <w:t>.</w:t>
      </w:r>
    </w:p>
    <w:p w14:paraId="0B000000">
      <w:pPr>
        <w:pStyle w:val="Style_2"/>
      </w:pPr>
      <w:r>
        <w:t>Два дня в год – на диспансеризацию</w:t>
      </w:r>
    </w:p>
    <w:p w14:paraId="0C000000">
      <w:pPr>
        <w:pStyle w:val="Style_2"/>
      </w:pPr>
      <w:r>
        <w:t>У пред</w:t>
      </w:r>
      <w:r>
        <w:rPr>
          <w:b w:val="1"/>
        </w:rPr>
        <w:t>пенсионеров</w:t>
      </w:r>
      <w:r>
        <w:t xml:space="preserve"> теперь есть ещё одна льгота – один раз в год им положены два оплачиваемых дня для прохождения диспансеризации. С сохранением места работы (должности) и среднего заработка (ст. 185.1 ТК РФ). Как уточняет Роструд, «эти дни предоставляются исключительно по согласованию с работодателем, а неиспользованные для диспансеризации дни сгорают и не компенсируются».</w:t>
      </w:r>
    </w:p>
    <w:p w14:paraId="0D000000">
      <w:pPr>
        <w:pStyle w:val="Style_2"/>
      </w:pPr>
      <w:r>
        <w:t>Накопления – по прежнему возрасту</w:t>
      </w:r>
    </w:p>
    <w:p w14:paraId="0E000000">
      <w:pPr>
        <w:pStyle w:val="Style_2"/>
      </w:pPr>
      <w:r>
        <w:t xml:space="preserve">По действующему законодательству, несмотря на поэтапное повышение возраста обращения за </w:t>
      </w:r>
      <w:r>
        <w:rPr>
          <w:b w:val="1"/>
        </w:rPr>
        <w:t>страховой пенсией</w:t>
      </w:r>
      <w:r>
        <w:t xml:space="preserve">, свои </w:t>
      </w:r>
      <w:r>
        <w:rPr>
          <w:b w:val="1"/>
        </w:rPr>
        <w:t>пенсионные накопления</w:t>
      </w:r>
      <w:r>
        <w:t xml:space="preserve"> граждане России могут получать при достижении возраста 55 лет (женщины) и 60 лет (мужчины).</w:t>
      </w:r>
    </w:p>
    <w:p w14:paraId="0F000000">
      <w:pPr>
        <w:pStyle w:val="Style_2"/>
      </w:pPr>
      <w:r>
        <w:t xml:space="preserve">С заявлением на выплату </w:t>
      </w:r>
      <w:r>
        <w:rPr>
          <w:b w:val="1"/>
        </w:rPr>
        <w:t>накопительной пенсии</w:t>
      </w:r>
      <w:r>
        <w:t xml:space="preserve"> надо обращаться в организацию, где ваши накопления формировались, – </w:t>
      </w:r>
      <w:r>
        <w:rPr>
          <w:b w:val="1"/>
        </w:rPr>
        <w:t>ПФР</w:t>
      </w:r>
      <w:r>
        <w:t xml:space="preserve"> или в </w:t>
      </w:r>
      <w:r>
        <w:rPr>
          <w:b w:val="1"/>
        </w:rPr>
        <w:t>НПФ</w:t>
      </w:r>
      <w:r>
        <w:t xml:space="preserve">, если накопления были переданы в управление негосударственному </w:t>
      </w:r>
      <w:r>
        <w:rPr>
          <w:b w:val="1"/>
        </w:rPr>
        <w:t>пенсионному фонду</w:t>
      </w:r>
      <w:r>
        <w:t>.</w:t>
      </w:r>
    </w:p>
    <w:p w14:paraId="10000000">
      <w:pPr>
        <w:pStyle w:val="Style_2"/>
      </w:pPr>
      <w:r>
        <w:t>Региональные льготы: транспорт, ЖКУ, медуслуги</w:t>
      </w:r>
    </w:p>
    <w:p w14:paraId="11000000">
      <w:pPr>
        <w:pStyle w:val="Style_2"/>
      </w:pPr>
      <w:r>
        <w:t>Помимо федеральных льгот и гарантий существуют региональные меры соцподдержки для пред</w:t>
      </w:r>
      <w:r>
        <w:rPr>
          <w:b w:val="1"/>
        </w:rPr>
        <w:t>пенсионеров</w:t>
      </w:r>
      <w:r>
        <w:t>. Обычно это льготный проезд на общественном транспорте, скидки на транспортный налог, льготы при оплате ЖКУ и медуслуг. Например, в Москве пред</w:t>
      </w:r>
      <w:r>
        <w:rPr>
          <w:b w:val="1"/>
        </w:rPr>
        <w:t>пенсионер</w:t>
      </w:r>
      <w:r>
        <w:t xml:space="preserve"> может рассчитывать на бесплатный проезд на наземном городском транспорте (кроме такси), в метро, на МЦК и в пригородных электричках, а также на бесплатное изготовление и ремонт зубных протезов (кроме стоимости драгметаллов и металлокерамики), бесплатную путёвку и возмещение расходов на проезд (если не работает и лечение необходимо по медпоказаниям). Пред</w:t>
      </w:r>
      <w:r>
        <w:rPr>
          <w:b w:val="1"/>
        </w:rPr>
        <w:t>пенсионерам</w:t>
      </w:r>
      <w:r>
        <w:t xml:space="preserve"> – ветеранам труда даётся скидка в 50% при оплате ЖКУ.</w:t>
      </w:r>
    </w:p>
    <w:p w14:paraId="12000000">
      <w:pPr>
        <w:pStyle w:val="Style_2"/>
      </w:pPr>
      <w:r>
        <w:t>У пред</w:t>
      </w:r>
      <w:r>
        <w:rPr>
          <w:b w:val="1"/>
        </w:rPr>
        <w:t>пенсионеров</w:t>
      </w:r>
      <w:r>
        <w:t xml:space="preserve"> Краснодарского края частично тоже есть льготы на проезд в городском транспорте, а местным «Ветеранам труда» положены региональные выплаты и компенсация расходов на оплату ЖКУ. В Нижегород­ской области пакет льгот значительно меньше, но есть скидка на оплату транспорт­ного налога. Для пред</w:t>
      </w:r>
      <w:r>
        <w:rPr>
          <w:b w:val="1"/>
        </w:rPr>
        <w:t>пенсионеров</w:t>
      </w:r>
      <w:r>
        <w:t xml:space="preserve"> ЯНАО сохранились все льготы, которые раньше давались по дос­тижении </w:t>
      </w:r>
      <w:r>
        <w:rPr>
          <w:b w:val="1"/>
        </w:rPr>
        <w:t>пенсионного возраста</w:t>
      </w:r>
      <w:r>
        <w:t>. Одна из основных – ежемесячное пособие в 2 тыс. руб., но для этого надо отработать не меньше 15 лет на Ямале. Неработающие ветераны округа также могут рассчитывать на 50%-ную компенсацию расходов на ЖКУ и другие льготы.</w:t>
      </w:r>
    </w:p>
    <w:p w14:paraId="13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Index"/>
    <w:basedOn w:val="Style_3"/>
    <w:link w:val="Style_5_ch"/>
  </w:style>
  <w:style w:styleId="Style_5_ch" w:type="character">
    <w:name w:val="Index"/>
    <w:basedOn w:val="Style_3_ch"/>
    <w:link w:val="Style_5"/>
  </w:style>
  <w:style w:styleId="Style_6" w:type="paragraph">
    <w:name w:val="toc 4"/>
    <w:next w:val="Style_3"/>
    <w:link w:val="Style_6_ch"/>
    <w:uiPriority w:val="39"/>
    <w:pPr>
      <w:ind w:firstLine="0" w:left="600"/>
    </w:pPr>
  </w:style>
  <w:style w:styleId="Style_6_ch" w:type="character">
    <w:name w:val="toc 4"/>
    <w:link w:val="Style_6"/>
  </w:style>
  <w:style w:styleId="Style_7" w:type="paragraph">
    <w:name w:val="toc 6"/>
    <w:next w:val="Style_3"/>
    <w:link w:val="Style_7_ch"/>
    <w:uiPriority w:val="39"/>
    <w:pPr>
      <w:ind w:firstLine="0" w:left="1000"/>
    </w:pPr>
  </w:style>
  <w:style w:styleId="Style_7_ch" w:type="character">
    <w:name w:val="toc 6"/>
    <w:link w:val="Style_7"/>
  </w:style>
  <w:style w:styleId="Style_8" w:type="paragraph">
    <w:name w:val="toc 7"/>
    <w:next w:val="Style_3"/>
    <w:link w:val="Style_8_ch"/>
    <w:uiPriority w:val="39"/>
    <w:pPr>
      <w:ind w:firstLine="0" w:left="1200"/>
    </w:pPr>
  </w:style>
  <w:style w:styleId="Style_8_ch" w:type="character">
    <w:name w:val="toc 7"/>
    <w:link w:val="Style_8"/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9" w:type="paragraph">
    <w:name w:val="heading 3"/>
    <w:next w:val="Style_3"/>
    <w:link w:val="Style_9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9_ch" w:type="character">
    <w:name w:val="heading 3"/>
    <w:link w:val="Style_9"/>
    <w:rPr>
      <w:rFonts w:ascii="XO Thames" w:hAnsi="XO Thames"/>
      <w:b w:val="1"/>
      <w:i w:val="1"/>
      <w:color w:val="000000"/>
    </w:rPr>
  </w:style>
  <w:style w:styleId="Style_10" w:type="paragraph">
    <w:name w:val="toc 3"/>
    <w:next w:val="Style_3"/>
    <w:link w:val="Style_10_ch"/>
    <w:uiPriority w:val="39"/>
    <w:pPr>
      <w:ind w:firstLine="0" w:left="400"/>
    </w:pPr>
  </w:style>
  <w:style w:styleId="Style_10_ch" w:type="character">
    <w:name w:val="toc 3"/>
    <w:link w:val="Style_10"/>
  </w:style>
  <w:style w:styleId="Style_11" w:type="paragraph">
    <w:name w:val="heading 5"/>
    <w:next w:val="Style_3"/>
    <w:link w:val="Style_11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1_ch" w:type="character">
    <w:name w:val="heading 5"/>
    <w:link w:val="Style_11"/>
    <w:rPr>
      <w:rFonts w:ascii="XO Thames" w:hAnsi="XO Thames"/>
      <w:b w:val="1"/>
      <w:color w:val="000000"/>
      <w:sz w:val="22"/>
    </w:rPr>
  </w:style>
  <w:style w:styleId="Style_12" w:type="paragraph">
    <w:name w:val="heading 1"/>
    <w:next w:val="Style_3"/>
    <w:link w:val="Style_12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ind/>
      <w:jc w:val="left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3"/>
    <w:link w:val="Style_15_ch"/>
    <w:uiPriority w:val="39"/>
    <w:pPr>
      <w:ind w:firstLine="0" w:left="0"/>
    </w:pPr>
    <w:rPr>
      <w:rFonts w:ascii="XO Thames" w:hAnsi="XO Thames"/>
      <w:b w:val="1"/>
    </w:rPr>
  </w:style>
  <w:style w:styleId="Style_15_ch" w:type="character">
    <w:name w:val="toc 1"/>
    <w:link w:val="Style_15"/>
    <w:rPr>
      <w:rFonts w:ascii="XO Thames" w:hAnsi="XO Thames"/>
      <w:b w:val="1"/>
    </w:rPr>
  </w:style>
  <w:style w:styleId="Style_16" w:type="paragraph">
    <w:name w:val="Header and Footer"/>
    <w:link w:val="Style_16_ch"/>
    <w:pPr>
      <w:spacing w:line="360" w:lineRule="auto"/>
      <w:ind/>
    </w:pPr>
    <w:rPr>
      <w:rFonts w:ascii="XO Thames" w:hAnsi="XO Thames"/>
      <w:sz w:val="20"/>
    </w:rPr>
  </w:style>
  <w:style w:styleId="Style_16_ch" w:type="character">
    <w:name w:val="Header and Footer"/>
    <w:link w:val="Style_16"/>
    <w:rPr>
      <w:rFonts w:ascii="XO Thames" w:hAnsi="XO Thames"/>
      <w:sz w:val="20"/>
    </w:rPr>
  </w:style>
  <w:style w:styleId="Style_17" w:type="paragraph">
    <w:name w:val="Caption"/>
    <w:basedOn w:val="Style_3"/>
    <w:link w:val="Style_17_ch"/>
    <w:pPr>
      <w:spacing w:after="120" w:before="120"/>
      <w:ind/>
    </w:pPr>
    <w:rPr>
      <w:i w:val="1"/>
      <w:sz w:val="24"/>
    </w:rPr>
  </w:style>
  <w:style w:styleId="Style_17_ch" w:type="character">
    <w:name w:val="Caption"/>
    <w:basedOn w:val="Style_3_ch"/>
    <w:link w:val="Style_17"/>
    <w:rPr>
      <w:i w:val="1"/>
      <w:sz w:val="24"/>
    </w:rPr>
  </w:style>
  <w:style w:styleId="Style_18" w:type="paragraph">
    <w:name w:val="toc 9"/>
    <w:next w:val="Style_3"/>
    <w:link w:val="Style_18_ch"/>
    <w:uiPriority w:val="39"/>
    <w:pPr>
      <w:ind w:firstLine="0" w:left="1600"/>
    </w:pPr>
  </w:style>
  <w:style w:styleId="Style_18_ch" w:type="character">
    <w:name w:val="toc 9"/>
    <w:link w:val="Style_18"/>
  </w:style>
  <w:style w:styleId="Style_19" w:type="paragraph">
    <w:name w:val="toc 8"/>
    <w:next w:val="Style_3"/>
    <w:link w:val="Style_19_ch"/>
    <w:uiPriority w:val="39"/>
    <w:pPr>
      <w:ind w:firstLine="0" w:left="1400"/>
    </w:pPr>
  </w:style>
  <w:style w:styleId="Style_19_ch" w:type="character">
    <w:name w:val="toc 8"/>
    <w:link w:val="Style_19"/>
  </w:style>
  <w:style w:styleId="Style_20" w:type="paragraph">
    <w:name w:val="toc 5"/>
    <w:next w:val="Style_3"/>
    <w:link w:val="Style_20_ch"/>
    <w:uiPriority w:val="39"/>
    <w:pPr>
      <w:ind w:firstLine="0" w:left="800"/>
    </w:pPr>
  </w:style>
  <w:style w:styleId="Style_20_ch" w:type="character">
    <w:name w:val="toc 5"/>
    <w:link w:val="Style_20"/>
  </w:style>
  <w:style w:styleId="Style_21" w:type="paragraph">
    <w:name w:val="List"/>
    <w:basedOn w:val="Style_2"/>
    <w:link w:val="Style_21_ch"/>
  </w:style>
  <w:style w:styleId="Style_21_ch" w:type="character">
    <w:name w:val="List"/>
    <w:basedOn w:val="Style_2_ch"/>
    <w:link w:val="Style_21"/>
  </w:style>
  <w:style w:styleId="Style_22" w:type="paragraph">
    <w:name w:val="Heading"/>
    <w:basedOn w:val="Style_3"/>
    <w:next w:val="Style_2"/>
    <w:link w:val="Style_22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22_ch" w:type="character">
    <w:name w:val="Heading"/>
    <w:basedOn w:val="Style_3_ch"/>
    <w:link w:val="Style_22"/>
    <w:rPr>
      <w:rFonts w:ascii="Liberation Sans" w:hAnsi="Liberation Sans"/>
      <w:sz w:val="28"/>
    </w:rPr>
  </w:style>
  <w:style w:styleId="Style_23" w:type="paragraph">
    <w:name w:val="Subtitle"/>
    <w:next w:val="Style_3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22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22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