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07.09.2020, 19:03, Минфин предложил распространить механизм "единого налогового платежа" на юрлиц и ИП</w:t>
      </w:r>
    </w:p>
    <w:p w14:paraId="02000000">
      <w:pPr>
        <w:pStyle w:val="Style_2"/>
      </w:pPr>
      <w:r>
        <w:t>МОСКВА, 7 сентября. /ТАСС/. Механизм "единого налогового платежа" предлагается распространить на юридические лица и индивидуальных предпринимателей. Об этом говорится в сообщении на сайте Минфина.</w:t>
      </w:r>
    </w:p>
    <w:p w14:paraId="03000000">
      <w:pPr>
        <w:pStyle w:val="Style_2"/>
      </w:pPr>
      <w:r>
        <w:t xml:space="preserve">"Минфин России в соответствии с поручением правительства РФ подготовил и опубликовал для публичного обсуждения законопроект о распространении механизма "единого налогового платежа" на юридических лиц и индивидуальных предпринимателей по всем видам налогов, торгового сбора и </w:t>
      </w:r>
      <w:r>
        <w:rPr>
          <w:b w:val="1"/>
        </w:rPr>
        <w:t>страховым взносам</w:t>
      </w:r>
      <w:r>
        <w:t>. Для физических лиц аналогичная возможность по уплате имущественного, транспортного и земельного налогов действует уже с 1 января 2019 года, а по уплате НДФЛ - с 1 января 2020 года", - говорится в сообщении.</w:t>
      </w:r>
    </w:p>
    <w:p w14:paraId="04000000">
      <w:pPr>
        <w:pStyle w:val="Style_2"/>
      </w:pPr>
      <w:r>
        <w:t xml:space="preserve">Отмечается, что такая инициатива позволит уплачивать налоги, торговый сбор, </w:t>
      </w:r>
      <w:r>
        <w:rPr>
          <w:b w:val="1"/>
        </w:rPr>
        <w:t>страховые взносы</w:t>
      </w:r>
      <w:r>
        <w:t xml:space="preserve"> одним платежным поручением без уточнения вида платежа, срока его уплаты, принадлежности к бюджету бюджетной системы РФ. При этом налоговый орган самостоятельно будет производить зачет перечисленных денежных средств в счет имеющихся у плательщика обязательств.</w:t>
      </w:r>
    </w:p>
    <w:p w14:paraId="05000000">
      <w:pPr>
        <w:pStyle w:val="Style_2"/>
      </w:pPr>
      <w:r>
        <w:t xml:space="preserve">В Минфине подчеркнули, что у плательщика сохранится право уплачивать налоги, торговый сбор, </w:t>
      </w:r>
      <w:r>
        <w:rPr>
          <w:b w:val="1"/>
        </w:rPr>
        <w:t>страховые взносы</w:t>
      </w:r>
      <w:r>
        <w:t xml:space="preserve"> по существующей схеме, то есть на соответствующие обязательствам коды бюджетной классификации. Реализация положений законопроекта создаст для плательщиков более комфортные условия, упростит порядок исполнения обязательств перед бюджетом, сократит время оформления расчетных документов, а также позволит своевременно исполнять свои обязательства перед бюджетом, добавили в Минфине.</w:t>
      </w:r>
    </w:p>
    <w:p w14:paraId="06000000">
      <w:pPr>
        <w:pStyle w:val="Style_2"/>
      </w:pPr>
      <w:r>
        <w:t>Предполагается, что соответствующие поправки в НК РФ начнут действовать с 1 января 2022 года.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Index"/>
    <w:basedOn w:val="Style_3"/>
    <w:link w:val="Style_4_ch"/>
  </w:style>
  <w:style w:styleId="Style_4_ch" w:type="character">
    <w:name w:val="Index"/>
    <w:basedOn w:val="Style_3_ch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eading"/>
    <w:basedOn w:val="Style_3"/>
    <w:next w:val="Style_2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Heading"/>
    <w:basedOn w:val="Style_3_ch"/>
    <w:link w:val="Style_14"/>
    <w:rPr>
      <w:rFonts w:ascii="Liberation Sans" w:hAnsi="Liberation Sans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List"/>
    <w:basedOn w:val="Style_2"/>
    <w:link w:val="Style_21_ch"/>
  </w:style>
  <w:style w:styleId="Style_21_ch" w:type="character">
    <w:name w:val="List"/>
    <w:basedOn w:val="Style_2_ch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