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 w:firstLine="540" w:left="0" w:right="0"/>
      </w:pPr>
      <w:r>
        <w:t xml:space="preserve">С 1 января 2020 года размер фиксированной выплаты к страховой пенсии по старости составляет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"http://www.consultant.ru/document/cons_doc_LAW_308156/b62da3aeb315547b6915beadea02920bd7dd4c41/" \l "dst100331"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5686 рубля 25 копеек</w:t>
      </w:r>
      <w:r>
        <w:rPr>
          <w:color w:val="000080"/>
          <w:u w:color="000080" w:val="single"/>
        </w:rPr>
        <w:fldChar w:fldCharType="end"/>
      </w:r>
      <w:r>
        <w:t>.</w:t>
      </w:r>
    </w:p>
    <w:tbl>
      <w:tblPr/>
      <w:tblGrid>
        <w:gridCol w:w="3960"/>
        <w:gridCol w:w="3225"/>
      </w:tblGrid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2000000">
            <w:pPr>
              <w:pStyle w:val="Style_2"/>
            </w:pPr>
            <w:r>
              <w:t>Категория получателей пенсии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3000000">
            <w:pPr>
              <w:pStyle w:val="Style_2"/>
            </w:pPr>
            <w:r>
              <w:t xml:space="preserve">Размер фиксированной выплаты в месяц к страховой пенсии по старости с учетом повышений установленных 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"dst100201"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ст. 17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Федерального закона N 400-ФЗ, и индексации в 2020 году 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"http://www.consultant.ru/document/cons_doc_LAW_43487/8faa1c749b4c72a8902b50fb3c24c91c0d035b0e/" \l "dst100073"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&lt;*&gt;</w:t>
            </w:r>
            <w:r>
              <w:rPr>
                <w:color w:val="000080"/>
                <w:u w:color="000080" w:val="single"/>
              </w:rPr>
              <w:fldChar w:fldCharType="end"/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4000000">
            <w:pPr>
              <w:pStyle w:val="Style_2"/>
            </w:pP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"dst100202"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Граждане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>, достигшие 80-летнего возраста (не имеющие иждивенцев)</w:t>
            </w:r>
          </w:p>
          <w:p w14:paraId="05000000">
            <w:pPr>
              <w:pStyle w:val="Style_2"/>
            </w:pP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"dst100203"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Инвалиды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I группы (не имеющие иждивенцев)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6000000">
            <w:pPr>
              <w:pStyle w:val="Style_2"/>
            </w:pPr>
            <w:r>
              <w:t>11 372,50</w:t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7000000">
            <w:pPr>
              <w:pStyle w:val="Style_2"/>
            </w:pP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"dst100204"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Граждане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, на иждивении которых находятся нетрудоспособные </w:t>
            </w:r>
            <w:bookmarkStart w:id="1" w:name="multiref"/>
            <w:bookmarkEnd w:id="1"/>
            <w:r>
              <w:rPr>
                <w:rStyle w:val="Style_3_ch"/>
              </w:rPr>
              <w:t>члены семьи</w:t>
            </w:r>
            <w:r>
              <w:t xml:space="preserve"> (кроме лиц, достигших 80-летнего возраста или являющихся инвалидами I группы)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8000000">
            <w:pPr>
              <w:pStyle w:val="Style_2"/>
            </w:pPr>
            <w:r>
              <w:t>с 1 иждивенцем - 7 581,67</w:t>
            </w:r>
          </w:p>
          <w:p w14:paraId="09000000">
            <w:pPr>
              <w:pStyle w:val="Style_2"/>
            </w:pPr>
            <w:r>
              <w:t>с 2 иждивенцами - 9 477,09</w:t>
            </w:r>
          </w:p>
          <w:p w14:paraId="0A000000">
            <w:pPr>
              <w:pStyle w:val="Style_2"/>
            </w:pPr>
            <w:r>
              <w:t>с 3 иждивенцами - 11 372,51</w:t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B000000">
            <w:pPr>
              <w:pStyle w:val="Style_2"/>
            </w:pPr>
            <w:bookmarkStart w:id="2" w:name="multiref1"/>
            <w:bookmarkEnd w:id="2"/>
            <w:r>
              <w:rPr>
                <w:rStyle w:val="Style_3_ch"/>
              </w:rPr>
              <w:t>Граждане</w:t>
            </w:r>
            <w:r>
              <w:t>, достигшие возраста 80 лет или являющиеся инвалидами I группы, на иждивении которых находятся нетрудоспособные члены семьи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C000000">
            <w:pPr>
              <w:pStyle w:val="Style_2"/>
            </w:pPr>
            <w:r>
              <w:t>с 1 иждивенцем - 13 267,92</w:t>
            </w:r>
          </w:p>
          <w:p w14:paraId="0D000000">
            <w:pPr>
              <w:pStyle w:val="Style_2"/>
            </w:pPr>
            <w:r>
              <w:t>с 2 иждивенцами - 15 163,34</w:t>
            </w:r>
          </w:p>
          <w:p w14:paraId="0E000000">
            <w:pPr>
              <w:pStyle w:val="Style_2"/>
            </w:pPr>
            <w:r>
              <w:t>с 3 иждивенцами - 17 058,76</w:t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F000000">
            <w:pPr>
              <w:pStyle w:val="Style_2"/>
            </w:pP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"dst100205"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Граждане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, проработавшие не менее 15 календарных лет 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"http://www.consultant.ru/document/cons_doc_LAW_292097/6b62003cddbf7056e4456256deb5643fe7358625/" \l "dst100008"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в районах Крайнего Севера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и имеющие страховой стаж не менее 25 лет у мужчин или не менее 20 лет у женщин (кроме лиц, достигших 80-летнего возраста или являющихся инвалидами I группы) (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"dst100213"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независимо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от места жительства)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0000000">
            <w:pPr>
              <w:pStyle w:val="Style_2"/>
            </w:pPr>
            <w:r>
              <w:t>без иждивенцев - 8 529,38</w:t>
            </w:r>
          </w:p>
          <w:p w14:paraId="11000000">
            <w:pPr>
              <w:pStyle w:val="Style_2"/>
            </w:pPr>
            <w:r>
              <w:t>с 1 иждивенцем - 11 372,51</w:t>
            </w:r>
          </w:p>
          <w:p w14:paraId="12000000">
            <w:pPr>
              <w:pStyle w:val="Style_2"/>
            </w:pPr>
            <w:r>
              <w:t>с 2 иждивенцами - 14 215,64</w:t>
            </w:r>
          </w:p>
          <w:p w14:paraId="13000000">
            <w:pPr>
              <w:pStyle w:val="Style_2"/>
            </w:pPr>
            <w:r>
              <w:t>с 3 иждивенцами - 17 058,77</w:t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4000000">
            <w:pPr>
              <w:pStyle w:val="Style_2"/>
            </w:pPr>
            <w:bookmarkStart w:id="3" w:name="multiref2"/>
            <w:bookmarkEnd w:id="3"/>
            <w:r>
              <w:rPr>
                <w:rStyle w:val="Style_3_ch"/>
              </w:rPr>
              <w:t>Граждане</w:t>
            </w:r>
            <w:r>
              <w:t xml:space="preserve">, проработавшие не менее 15 календарных лет 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"http://www.consultant.ru/document/cons_doc_LAW_292097/6b62003cddbf7056e4456256deb5643fe7358625/" \l "dst100008"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в районах Крайнего Севера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и имеющие страховой стаж для мужчин не менее 25, а для женщин - не менее 20 лет, достигшие возраста 80 лет или являющиеся инвалидами I группы (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"dst100213"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независимо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от места жительства)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5000000">
            <w:pPr>
              <w:pStyle w:val="Style_2"/>
            </w:pPr>
            <w:r>
              <w:t>без иждивенцев - 17 058,75</w:t>
            </w:r>
          </w:p>
          <w:p w14:paraId="16000000">
            <w:pPr>
              <w:pStyle w:val="Style_2"/>
            </w:pPr>
            <w:r>
              <w:t>с 1 иждивенцем - 19 901,88</w:t>
            </w:r>
          </w:p>
          <w:p w14:paraId="17000000">
            <w:pPr>
              <w:pStyle w:val="Style_2"/>
            </w:pPr>
            <w:r>
              <w:t>с 2 иждивенцами - 22 745,01</w:t>
            </w:r>
          </w:p>
          <w:p w14:paraId="18000000">
            <w:pPr>
              <w:pStyle w:val="Style_2"/>
            </w:pPr>
            <w:r>
              <w:t>с 3 иждивенцами - 25 588,14</w:t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9000000">
            <w:pPr>
              <w:pStyle w:val="Style_2"/>
            </w:pP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"dst100206"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Граждане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, проработавшие не менее 20 календарных лет в местностях, приравненных к 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"http://www.consultant.ru/document/cons_doc_LAW_292097/6b62003cddbf7056e4456256deb5643fe7358625/" \l "dst100008"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районам Крайнего Севера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>, имеющие страховой стаж не менее 25 лет у мужчин или не менее 20 лет у женщин (кроме лиц, достигших 80-летнего возраста или являющихся инвалидами I группы) (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"dst100213"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независимо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от места жительства)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A000000">
            <w:pPr>
              <w:pStyle w:val="Style_2"/>
            </w:pPr>
            <w:r>
              <w:t>Без иждивенцев - 7 392,13</w:t>
            </w:r>
          </w:p>
          <w:p w14:paraId="1B000000">
            <w:pPr>
              <w:pStyle w:val="Style_2"/>
            </w:pPr>
            <w:r>
              <w:t>с 1 иждивенцем - 9 856,17</w:t>
            </w:r>
          </w:p>
          <w:p w14:paraId="1C000000">
            <w:pPr>
              <w:pStyle w:val="Style_2"/>
            </w:pPr>
            <w:r>
              <w:t>с 2 иждивенцами - 12 320,21</w:t>
            </w:r>
          </w:p>
          <w:p w14:paraId="1D000000">
            <w:pPr>
              <w:pStyle w:val="Style_2"/>
            </w:pPr>
            <w:r>
              <w:t>с 3 иждивенцами - 14 784,25</w:t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E000000">
            <w:pPr>
              <w:pStyle w:val="Style_2"/>
            </w:pPr>
            <w:bookmarkStart w:id="4" w:name="multiref3"/>
            <w:bookmarkEnd w:id="4"/>
            <w:r>
              <w:rPr>
                <w:rStyle w:val="Style_3_ch"/>
              </w:rPr>
              <w:t>Граждане</w:t>
            </w:r>
            <w:r>
              <w:t xml:space="preserve">, проработавшие не менее 20 календарных лет в местностях, приравненных к 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"http://www.consultant.ru/document/cons_doc_LAW_292097/6b62003cddbf7056e4456256deb5643fe7358625/" \l "dst100008"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районам Крайнего Севера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>, имеющие страховой стаж не менее 25 лет у мужчин или не менее 20 лет у женщин, достигшие возраста 80 лет или являющиеся инвалидами I группы (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"dst100213"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независимо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от места жительства)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F000000">
            <w:pPr>
              <w:pStyle w:val="Style_2"/>
            </w:pPr>
            <w:r>
              <w:t>Без иждивенцев - 14 784,25</w:t>
            </w:r>
          </w:p>
          <w:p w14:paraId="20000000">
            <w:pPr>
              <w:pStyle w:val="Style_2"/>
            </w:pPr>
            <w:r>
              <w:t>с 1 иждивенцем - 17 248,30</w:t>
            </w:r>
          </w:p>
          <w:p w14:paraId="21000000">
            <w:pPr>
              <w:pStyle w:val="Style_2"/>
            </w:pPr>
            <w:r>
              <w:t>с 2 иждивенцами - 19 712,34</w:t>
            </w:r>
          </w:p>
          <w:p w14:paraId="22000000">
            <w:pPr>
              <w:pStyle w:val="Style_2"/>
            </w:pPr>
            <w:r>
              <w:t>с 3 иждивенцами - 22 176,39</w:t>
            </w:r>
          </w:p>
        </w:tc>
      </w:tr>
      <w:tr>
        <w:tc>
          <w:tcPr>
            <w:tcW w:type="dxa" w:w="396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23000000">
            <w:pPr>
              <w:pStyle w:val="Style_2"/>
            </w:pP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"http://www.consultant.ru/document/cons_doc_LAW_334560/c612f399f6d03238d3be5a83fe9fe6ad073e436e/" \l "dst100215"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Лица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, проработавшие не менее 30 календарных лет в сельском хозяйстве, не осуществляющие работу и (или) иную деятельность, в период которой они подлежали обязательному пенсионному страхованию в соответствии с Федеральным </w:t>
            </w:r>
            <w:r>
              <w:rPr>
                <w:color w:val="000080"/>
                <w:u w:color="000080" w:val="single"/>
              </w:rPr>
              <w:fldChar w:fldCharType="begin"/>
            </w:r>
            <w:r>
              <w:rPr>
                <w:color w:val="000080"/>
                <w:u w:color="000080" w:val="single"/>
              </w:rPr>
              <w:instrText>HYPERLINK "http://www.consultant.ru/document/cons_doc_LAW_349270/" \l "dst0"</w:instrText>
            </w:r>
            <w:r>
              <w:rPr>
                <w:color w:val="000080"/>
                <w:u w:color="000080" w:val="single"/>
              </w:rPr>
              <w:fldChar w:fldCharType="separate"/>
            </w:r>
            <w:r>
              <w:rPr>
                <w:color w:val="000080"/>
                <w:u w:color="000080" w:val="single"/>
              </w:rPr>
              <w:t>законом</w:t>
            </w:r>
            <w:r>
              <w:rPr>
                <w:color w:val="000080"/>
                <w:u w:color="000080" w:val="single"/>
              </w:rPr>
              <w:fldChar w:fldCharType="end"/>
            </w:r>
            <w:r>
              <w:t xml:space="preserve"> от 15.12. 2001 N 167-ФЗ</w:t>
            </w:r>
          </w:p>
        </w:tc>
        <w:tc>
          <w:tcPr>
            <w:tcW w:type="dxa" w:w="32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24000000">
            <w:pPr>
              <w:pStyle w:val="Style_2"/>
            </w:pPr>
            <w:r>
              <w:t>7 107,81</w:t>
            </w:r>
          </w:p>
        </w:tc>
      </w:tr>
    </w:tbl>
    <w:p w14:paraId="25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4" w:type="paragraph">
    <w:name w:val="toc 2"/>
    <w:next w:val="Style_1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1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"/>
    <w:basedOn w:val="Style_1"/>
    <w:next w:val="Style_9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1_ch"/>
    <w:link w:val="Style_8"/>
    <w:rPr>
      <w:rFonts w:ascii="Liberation Sans" w:hAnsi="Liberation Sans"/>
      <w:sz w:val="28"/>
    </w:rPr>
  </w:style>
  <w:style w:styleId="Style_10" w:type="paragraph">
    <w:name w:val="heading 3"/>
    <w:next w:val="Style_1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2" w:type="paragraph">
    <w:name w:val="Table Contents"/>
    <w:basedOn w:val="Style_1"/>
    <w:link w:val="Style_2_ch"/>
  </w:style>
  <w:style w:styleId="Style_2_ch" w:type="character">
    <w:name w:val="Table Contents"/>
    <w:basedOn w:val="Style_1_ch"/>
    <w:link w:val="Style_2"/>
  </w:style>
  <w:style w:styleId="Style_11" w:type="paragraph">
    <w:name w:val="Caption"/>
    <w:basedOn w:val="Style_1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1_ch"/>
    <w:link w:val="Style_11"/>
    <w:rPr>
      <w:i w:val="1"/>
      <w:sz w:val="24"/>
    </w:rPr>
  </w:style>
  <w:style w:styleId="Style_12" w:type="paragraph">
    <w:name w:val="toc 3"/>
    <w:next w:val="Style_1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Table Heading"/>
    <w:basedOn w:val="Style_2"/>
    <w:link w:val="Style_13_ch"/>
    <w:pPr>
      <w:ind/>
      <w:jc w:val="center"/>
    </w:pPr>
    <w:rPr>
      <w:b w:val="1"/>
    </w:rPr>
  </w:style>
  <w:style w:styleId="Style_13_ch" w:type="character">
    <w:name w:val="Table Heading"/>
    <w:basedOn w:val="Style_2_ch"/>
    <w:link w:val="Style_13"/>
    <w:rPr>
      <w:b w:val="1"/>
    </w:rPr>
  </w:style>
  <w:style w:styleId="Style_14" w:type="paragraph">
    <w:name w:val="List"/>
    <w:basedOn w:val="Style_9"/>
    <w:link w:val="Style_14_ch"/>
  </w:style>
  <w:style w:styleId="Style_14_ch" w:type="character">
    <w:name w:val="List"/>
    <w:basedOn w:val="Style_9_ch"/>
    <w:link w:val="Style_14"/>
  </w:style>
  <w:style w:styleId="Style_9" w:type="paragraph">
    <w:name w:val="Text body"/>
    <w:basedOn w:val="Style_1"/>
    <w:link w:val="Style_9_ch"/>
    <w:pPr>
      <w:spacing w:after="140" w:before="0" w:line="288" w:lineRule="auto"/>
      <w:ind/>
    </w:pPr>
  </w:style>
  <w:style w:styleId="Style_9_ch" w:type="character">
    <w:name w:val="Text body"/>
    <w:basedOn w:val="Style_1_ch"/>
    <w:link w:val="Style_9"/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80"/>
      <w:u w:color="000080" w:val="single"/>
    </w:rPr>
  </w:style>
  <w:style w:styleId="Style_17_ch" w:type="character">
    <w:name w:val="Hyperlink"/>
    <w:link w:val="Style_17"/>
    <w:rPr>
      <w:color w:val="000080"/>
      <w:u w:color="000080" w:val="single"/>
    </w:rPr>
  </w:style>
  <w:style w:styleId="Style_18" w:type="paragraph">
    <w:name w:val="Footnote"/>
    <w:link w:val="Style_18_ch"/>
    <w:pPr>
      <w:ind/>
      <w:jc w:val="left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1"/>
    <w:link w:val="Style_19_ch"/>
    <w:uiPriority w:val="39"/>
    <w:pPr>
      <w:ind w:firstLine="0" w:left="0"/>
    </w:pPr>
    <w:rPr>
      <w:rFonts w:ascii="XO Thames" w:hAnsi="XO Thames"/>
      <w:b w:val="1"/>
    </w:rPr>
  </w:style>
  <w:style w:styleId="Style_19_ch" w:type="character">
    <w:name w:val="toc 1"/>
    <w:link w:val="Style_19"/>
    <w:rPr>
      <w:rFonts w:ascii="XO Thames" w:hAnsi="XO Thames"/>
      <w:b w:val="1"/>
    </w:rPr>
  </w:style>
  <w:style w:styleId="Style_20" w:type="paragraph">
    <w:name w:val="Header and Footer"/>
    <w:link w:val="Style_20_ch"/>
    <w:pPr>
      <w:spacing w:line="360" w:lineRule="auto"/>
      <w:ind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1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toc 8"/>
    <w:next w:val="Style_1"/>
    <w:link w:val="Style_22_ch"/>
    <w:uiPriority w:val="39"/>
    <w:pPr>
      <w:ind w:firstLine="0" w:left="1400"/>
    </w:pPr>
  </w:style>
  <w:style w:styleId="Style_22_ch" w:type="character">
    <w:name w:val="toc 8"/>
    <w:link w:val="Style_22"/>
  </w:style>
  <w:style w:styleId="Style_23" w:type="paragraph">
    <w:name w:val="toc 5"/>
    <w:next w:val="Style_1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Subtitle"/>
    <w:next w:val="Style_1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3" w:type="paragraph">
    <w:name w:val="q"/>
    <w:link w:val="Style_3_ch"/>
  </w:style>
  <w:style w:styleId="Style_3_ch" w:type="character">
    <w:name w:val="q"/>
    <w:link w:val="Style_3"/>
  </w:style>
  <w:style w:styleId="Style_25" w:type="paragraph">
    <w:name w:val="toc 10"/>
    <w:next w:val="Style_1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1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1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Index"/>
    <w:basedOn w:val="Style_1"/>
    <w:link w:val="Style_28_ch"/>
  </w:style>
  <w:style w:styleId="Style_28_ch" w:type="character">
    <w:name w:val="Index"/>
    <w:basedOn w:val="Style_1_ch"/>
    <w:link w:val="Style_28"/>
  </w:style>
  <w:style w:styleId="Style_29" w:type="paragraph">
    <w:name w:val="heading 2"/>
    <w:next w:val="Style_1"/>
    <w:link w:val="Style_29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9_ch" w:type="character">
    <w:name w:val="heading 2"/>
    <w:link w:val="Style_29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