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Ваш пенсионный брокер, 26.06.2020, 06:52, Доходность пенсионных накоплений НПФ выше банковских вкладов</w:t>
      </w:r>
    </w:p>
    <w:p w14:paraId="02000000">
      <w:pPr>
        <w:pStyle w:val="Style_2"/>
      </w:pPr>
      <w:r>
        <w:t xml:space="preserve">По данным Национальной Ассоциации </w:t>
      </w:r>
      <w:r>
        <w:rPr>
          <w:b w:val="1"/>
        </w:rPr>
        <w:t>пенсионных фондов</w:t>
      </w:r>
      <w:r>
        <w:t xml:space="preserve"> (НА</w:t>
      </w:r>
      <w:r>
        <w:rPr>
          <w:b w:val="1"/>
        </w:rPr>
        <w:t>ПФ</w:t>
      </w:r>
      <w:r>
        <w:t xml:space="preserve">) пенсионные счета граждан стали одним из наиболее доходных инвестиционных инструментов в 2019 году. Наибольший прирост показали </w:t>
      </w:r>
      <w:r>
        <w:rPr>
          <w:b w:val="1"/>
        </w:rPr>
        <w:t>пенсионные накопления</w:t>
      </w:r>
      <w:r>
        <w:t xml:space="preserve"> и ПИФы, имеющие схожую природу инвестирования. Серьезный убыток понесли те, кто инвестировал в валюту в прошлом году.</w:t>
      </w:r>
    </w:p>
    <w:p w14:paraId="03000000">
      <w:pPr>
        <w:pStyle w:val="Style_2"/>
      </w:pPr>
      <w:r>
        <w:t xml:space="preserve">Так средняя доходность накоплений в </w:t>
      </w:r>
      <w:r>
        <w:rPr>
          <w:b w:val="1"/>
        </w:rPr>
        <w:t>НПФ</w:t>
      </w:r>
      <w:r>
        <w:t xml:space="preserve"> в 2019 составила 10,7% годовых, а средняя доходность банковских трехлетних вкладов 3 года – 5,9% годовых. Аналитики НА</w:t>
      </w:r>
      <w:r>
        <w:rPr>
          <w:b w:val="1"/>
        </w:rPr>
        <w:t>ПФ</w:t>
      </w:r>
      <w:r>
        <w:t xml:space="preserve"> сравнили также доходность </w:t>
      </w:r>
      <w:r>
        <w:rPr>
          <w:b w:val="1"/>
        </w:rPr>
        <w:t>пенсионных накоплений</w:t>
      </w:r>
      <w:r>
        <w:t xml:space="preserve"> в 2014 -2019 годах с доходностью по банковским вкладам. Выяснилось, что </w:t>
      </w:r>
      <w:r>
        <w:rPr>
          <w:b w:val="1"/>
        </w:rPr>
        <w:t>НПФ</w:t>
      </w:r>
      <w:r>
        <w:t xml:space="preserve"> обеспечивали доходность либо превышающую, либо сопоставимую с доходностью по вкладам в банках.</w:t>
      </w:r>
    </w:p>
    <w:p w14:paraId="04000000">
      <w:pPr>
        <w:pStyle w:val="Style_2"/>
      </w:pPr>
      <w:r>
        <w:t xml:space="preserve">Чтобы вложить свои деньги в доходный пенсионный счет необходимо выбрать программу негосударственного пенсионного обеспечения (НПО). Кроме годовой доходности программа НПО позволяет заработать за счет ежегодного налогового вычета по взносам в 13% годовых. А </w:t>
      </w:r>
      <w:r>
        <w:rPr>
          <w:b w:val="1"/>
        </w:rPr>
        <w:t>пенсионные накопления</w:t>
      </w:r>
      <w:r>
        <w:t xml:space="preserve"> ОПС можно увеличить если перевести их в более доходный </w:t>
      </w:r>
      <w:r>
        <w:rPr>
          <w:b w:val="1"/>
        </w:rPr>
        <w:t>НПФ</w:t>
      </w:r>
      <w:r>
        <w:t>. Такая возможность открыта до декабря 2020 года</w:t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Heading"/>
    <w:basedOn w:val="Style_3"/>
    <w:next w:val="Style_2"/>
    <w:link w:val="Style_1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0_ch" w:type="character">
    <w:name w:val="Heading"/>
    <w:basedOn w:val="Style_3_ch"/>
    <w:link w:val="Style_10"/>
    <w:rPr>
      <w:rFonts w:ascii="Liberation Sans" w:hAnsi="Liberation Sans"/>
      <w:sz w:val="28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Index"/>
    <w:basedOn w:val="Style_3"/>
    <w:link w:val="Style_12_ch"/>
  </w:style>
  <w:style w:styleId="Style_12_ch" w:type="character">
    <w:name w:val="Index"/>
    <w:basedOn w:val="Style_3_ch"/>
    <w:link w:val="Style_12"/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</w:pPr>
  </w:style>
  <w:style w:styleId="Style_21_ch" w:type="character">
    <w:name w:val="toc 8"/>
    <w:link w:val="Style_21"/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1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1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