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ind w:firstLine="0" w:left="-851"/>
        <w:jc w:val="center"/>
        <w:rPr>
          <w:rFonts w:ascii="Times New Roman" w:hAnsi="Times New Roman"/>
          <w:b w:val="1"/>
          <w:sz w:val="28"/>
          <w:u w:val="single"/>
        </w:rPr>
      </w:pPr>
      <w:r>
        <w:rPr>
          <w:rFonts w:ascii="Times New Roman" w:hAnsi="Times New Roman"/>
          <w:b w:val="1"/>
          <w:sz w:val="28"/>
          <w:u w:val="single"/>
        </w:rPr>
        <w:t>Доставка пенсии досрочно</w:t>
      </w:r>
    </w:p>
    <w:p w14:paraId="02000000">
      <w:pPr>
        <w:pStyle w:val="Style_1"/>
        <w:spacing w:line="276" w:lineRule="auto"/>
        <w:ind w:firstLine="425" w:left="-851"/>
        <w:jc w:val="both"/>
        <w:rPr>
          <w:rFonts w:ascii="Times New Roman" w:hAnsi="Times New Roman"/>
          <w:sz w:val="27"/>
        </w:rPr>
      </w:pPr>
      <w:r>
        <w:rPr>
          <w:rFonts w:ascii="Times New Roman" w:hAnsi="Times New Roman"/>
          <w:sz w:val="27"/>
        </w:rPr>
        <w:t>Отделение ПФР по Республике Мордовии сообщает о том, что  доставка пенсий и иных социальных выплат</w:t>
      </w:r>
      <w:r>
        <w:rPr>
          <w:rFonts w:ascii="Times New Roman" w:hAnsi="Times New Roman"/>
          <w:sz w:val="27"/>
        </w:rPr>
        <w:t xml:space="preserve"> (</w:t>
      </w:r>
      <w:r>
        <w:rPr>
          <w:rFonts w:ascii="Times New Roman" w:hAnsi="Times New Roman"/>
          <w:i w:val="1"/>
          <w:sz w:val="27"/>
        </w:rPr>
        <w:t>в т.ч. к 75-летию Победы в Великой Отечественной войне</w:t>
      </w:r>
      <w:r>
        <w:rPr>
          <w:rFonts w:ascii="Times New Roman" w:hAnsi="Times New Roman"/>
          <w:sz w:val="27"/>
        </w:rPr>
        <w:t>)</w:t>
      </w:r>
      <w:r>
        <w:rPr>
          <w:rFonts w:ascii="Times New Roman" w:hAnsi="Times New Roman"/>
          <w:sz w:val="27"/>
        </w:rPr>
        <w:t xml:space="preserve"> </w:t>
      </w:r>
      <w:r>
        <w:rPr>
          <w:rFonts w:ascii="Times New Roman" w:hAnsi="Times New Roman"/>
          <w:sz w:val="27"/>
        </w:rPr>
        <w:t xml:space="preserve"> </w:t>
      </w:r>
      <w:r>
        <w:rPr>
          <w:rFonts w:ascii="Times New Roman" w:hAnsi="Times New Roman"/>
          <w:sz w:val="27"/>
        </w:rPr>
        <w:t>гражданам, у которых дата доставки через почтовые отделения приходится на период с 1 по 1</w:t>
      </w:r>
      <w:r>
        <w:rPr>
          <w:rFonts w:ascii="Times New Roman" w:hAnsi="Times New Roman"/>
          <w:sz w:val="27"/>
        </w:rPr>
        <w:t>2</w:t>
      </w:r>
      <w:r>
        <w:rPr>
          <w:rFonts w:ascii="Times New Roman" w:hAnsi="Times New Roman"/>
          <w:sz w:val="27"/>
        </w:rPr>
        <w:t xml:space="preserve"> апреля, будет произведена Д</w:t>
      </w:r>
      <w:r>
        <w:rPr>
          <w:rFonts w:ascii="Times New Roman" w:hAnsi="Times New Roman"/>
          <w:b w:val="1"/>
          <w:sz w:val="27"/>
        </w:rPr>
        <w:t>ОСРОЧНО</w:t>
      </w:r>
      <w:r>
        <w:rPr>
          <w:rFonts w:ascii="Times New Roman" w:hAnsi="Times New Roman"/>
          <w:sz w:val="27"/>
        </w:rPr>
        <w:t xml:space="preserve">.  </w:t>
      </w:r>
      <w:r>
        <w:rPr>
          <w:rFonts w:ascii="Times New Roman" w:hAnsi="Times New Roman"/>
          <w:sz w:val="27"/>
        </w:rPr>
        <w:t xml:space="preserve">Это связано  с принятием мер по предупреждению распространения </w:t>
      </w:r>
      <w:r>
        <w:rPr>
          <w:rFonts w:ascii="Times New Roman" w:hAnsi="Times New Roman"/>
          <w:sz w:val="27"/>
        </w:rPr>
        <w:t>коронавирусной</w:t>
      </w:r>
      <w:r>
        <w:rPr>
          <w:rFonts w:ascii="Times New Roman" w:hAnsi="Times New Roman"/>
          <w:sz w:val="27"/>
        </w:rPr>
        <w:t xml:space="preserve"> инфекции на территории региона.</w:t>
      </w:r>
    </w:p>
    <w:p w14:paraId="03000000">
      <w:pPr>
        <w:pStyle w:val="Style_1"/>
        <w:spacing w:line="276" w:lineRule="auto"/>
        <w:ind w:firstLine="425" w:left="-851"/>
        <w:jc w:val="both"/>
        <w:rPr>
          <w:rFonts w:ascii="Times New Roman" w:hAnsi="Times New Roman"/>
          <w:sz w:val="27"/>
        </w:rPr>
      </w:pPr>
      <w:r>
        <w:rPr>
          <w:rFonts w:ascii="Times New Roman" w:hAnsi="Times New Roman"/>
          <w:sz w:val="27"/>
        </w:rPr>
        <w:t>Установлены следующие графики доставки выплат по линии ПФР</w:t>
      </w:r>
      <w:r>
        <w:rPr>
          <w:rFonts w:ascii="Times New Roman" w:hAnsi="Times New Roman"/>
          <w:sz w:val="27"/>
        </w:rPr>
        <w:t>:</w:t>
      </w:r>
    </w:p>
    <w:p w14:paraId="04000000">
      <w:pPr>
        <w:pStyle w:val="Style_1"/>
        <w:numPr>
          <w:ilvl w:val="0"/>
          <w:numId w:val="1"/>
        </w:numPr>
        <w:spacing w:line="276" w:lineRule="auto"/>
        <w:ind/>
        <w:jc w:val="both"/>
        <w:rPr>
          <w:rFonts w:ascii="Times New Roman" w:hAnsi="Times New Roman"/>
          <w:sz w:val="27"/>
        </w:rPr>
      </w:pPr>
      <w:r>
        <w:rPr>
          <w:rFonts w:ascii="Times New Roman" w:hAnsi="Times New Roman"/>
          <w:sz w:val="27"/>
        </w:rPr>
        <w:t>1 апреля – за 3,4 и 5 апреля;</w:t>
      </w:r>
    </w:p>
    <w:p w14:paraId="05000000">
      <w:pPr>
        <w:pStyle w:val="Style_1"/>
        <w:numPr>
          <w:ilvl w:val="0"/>
          <w:numId w:val="1"/>
        </w:numPr>
        <w:spacing w:line="276" w:lineRule="auto"/>
        <w:ind/>
        <w:jc w:val="both"/>
        <w:rPr>
          <w:rFonts w:ascii="Times New Roman" w:hAnsi="Times New Roman"/>
          <w:sz w:val="27"/>
        </w:rPr>
      </w:pPr>
      <w:r>
        <w:rPr>
          <w:rFonts w:ascii="Times New Roman" w:hAnsi="Times New Roman"/>
          <w:sz w:val="27"/>
        </w:rPr>
        <w:t>4 апреля – за 6,7 и 8 апреля;</w:t>
      </w:r>
    </w:p>
    <w:p w14:paraId="06000000">
      <w:pPr>
        <w:pStyle w:val="Style_1"/>
        <w:numPr>
          <w:ilvl w:val="0"/>
          <w:numId w:val="1"/>
        </w:numPr>
        <w:spacing w:line="276" w:lineRule="auto"/>
        <w:ind/>
        <w:jc w:val="both"/>
        <w:rPr>
          <w:rFonts w:ascii="Times New Roman" w:hAnsi="Times New Roman"/>
          <w:sz w:val="27"/>
        </w:rPr>
      </w:pPr>
      <w:r>
        <w:rPr>
          <w:rFonts w:ascii="Times New Roman" w:hAnsi="Times New Roman"/>
          <w:sz w:val="27"/>
        </w:rPr>
        <w:t>6 апреля – за 9,10 и 11 апреля;</w:t>
      </w:r>
    </w:p>
    <w:p w14:paraId="07000000">
      <w:pPr>
        <w:pStyle w:val="Style_1"/>
        <w:numPr>
          <w:ilvl w:val="0"/>
          <w:numId w:val="1"/>
        </w:numPr>
        <w:spacing w:line="276" w:lineRule="auto"/>
        <w:ind/>
        <w:jc w:val="both"/>
        <w:rPr>
          <w:rFonts w:ascii="Times New Roman" w:hAnsi="Times New Roman"/>
          <w:sz w:val="27"/>
        </w:rPr>
      </w:pPr>
      <w:r>
        <w:rPr>
          <w:rFonts w:ascii="Times New Roman" w:hAnsi="Times New Roman"/>
          <w:sz w:val="27"/>
        </w:rPr>
        <w:t>8 апреля – за 12 апреля и далее с учетом</w:t>
      </w:r>
      <w:r>
        <w:rPr>
          <w:rFonts w:ascii="Times New Roman" w:hAnsi="Times New Roman"/>
          <w:sz w:val="27"/>
        </w:rPr>
        <w:t xml:space="preserve"> финансирования.</w:t>
      </w:r>
    </w:p>
    <w:p w14:paraId="08000000">
      <w:pPr>
        <w:pStyle w:val="Style_1"/>
        <w:spacing w:line="276" w:lineRule="auto"/>
        <w:ind w:firstLine="425" w:left="-851"/>
        <w:jc w:val="both"/>
        <w:rPr>
          <w:rFonts w:ascii="Times New Roman" w:hAnsi="Times New Roman"/>
          <w:sz w:val="27"/>
        </w:rPr>
      </w:pPr>
      <w:r>
        <w:rPr>
          <w:rFonts w:ascii="Times New Roman" w:hAnsi="Times New Roman"/>
          <w:sz w:val="27"/>
        </w:rPr>
        <w:t xml:space="preserve">Что касается доставки пенсий через кредитные учреждения (банки), то Пенсионный фонд уже профинансировал пенсии и социальные выплаты тем, кто получает их в период </w:t>
      </w:r>
      <w:r>
        <w:rPr>
          <w:rFonts w:ascii="Times New Roman" w:hAnsi="Times New Roman"/>
          <w:sz w:val="27"/>
          <w:u w:val="single"/>
        </w:rPr>
        <w:t>с 1 по 1</w:t>
      </w:r>
      <w:r>
        <w:rPr>
          <w:rFonts w:ascii="Times New Roman" w:hAnsi="Times New Roman"/>
          <w:sz w:val="27"/>
          <w:u w:val="single"/>
        </w:rPr>
        <w:t>0</w:t>
      </w:r>
      <w:r>
        <w:rPr>
          <w:rFonts w:ascii="Times New Roman" w:hAnsi="Times New Roman"/>
          <w:sz w:val="27"/>
          <w:u w:val="single"/>
        </w:rPr>
        <w:t xml:space="preserve"> апреля</w:t>
      </w:r>
      <w:r>
        <w:rPr>
          <w:rFonts w:ascii="Times New Roman" w:hAnsi="Times New Roman"/>
          <w:sz w:val="27"/>
          <w:u w:val="single"/>
        </w:rPr>
        <w:t xml:space="preserve"> в Сбербанке, КС-Банке и </w:t>
      </w:r>
      <w:r>
        <w:rPr>
          <w:rFonts w:ascii="Times New Roman" w:hAnsi="Times New Roman"/>
          <w:sz w:val="27"/>
          <w:u w:val="single"/>
        </w:rPr>
        <w:t>Почта-Банке</w:t>
      </w:r>
      <w:r>
        <w:rPr>
          <w:rFonts w:ascii="Times New Roman" w:hAnsi="Times New Roman"/>
          <w:sz w:val="27"/>
          <w:u w:val="single"/>
        </w:rPr>
        <w:t>, в остальные финансирование будет произведено по графику</w:t>
      </w:r>
      <w:r>
        <w:rPr>
          <w:rFonts w:ascii="Times New Roman" w:hAnsi="Times New Roman"/>
          <w:sz w:val="27"/>
        </w:rPr>
        <w:t xml:space="preserve">. </w:t>
      </w:r>
    </w:p>
    <w:p w14:paraId="09000000">
      <w:pPr>
        <w:spacing w:after="120" w:before="120" w:line="240" w:lineRule="auto"/>
        <w:ind w:firstLine="425" w:left="-851"/>
        <w:jc w:val="both"/>
        <w:rPr>
          <w:rFonts w:ascii="Times New Roman" w:hAnsi="Times New Roman"/>
          <w:sz w:val="27"/>
        </w:rPr>
      </w:pPr>
      <w:r>
        <w:rPr>
          <w:rFonts w:ascii="Times New Roman" w:hAnsi="Times New Roman"/>
          <w:sz w:val="27"/>
        </w:rPr>
        <w:t xml:space="preserve">Также напоминаем о том, что клиентские службы Пенсионного фонда ведут прием граждан </w:t>
      </w:r>
      <w:r>
        <w:rPr>
          <w:rFonts w:ascii="Times New Roman" w:hAnsi="Times New Roman"/>
          <w:b w:val="1"/>
          <w:sz w:val="27"/>
        </w:rPr>
        <w:t xml:space="preserve">исключительно по </w:t>
      </w:r>
      <w:r>
        <w:rPr>
          <w:rFonts w:ascii="Times New Roman" w:hAnsi="Times New Roman"/>
          <w:b w:val="1"/>
          <w:sz w:val="27"/>
        </w:rPr>
        <w:t xml:space="preserve">предварительной </w:t>
      </w:r>
      <w:r>
        <w:rPr>
          <w:rFonts w:ascii="Times New Roman" w:hAnsi="Times New Roman"/>
          <w:b w:val="1"/>
          <w:sz w:val="27"/>
        </w:rPr>
        <w:t>записи</w:t>
      </w:r>
      <w:r>
        <w:rPr>
          <w:rFonts w:ascii="Times New Roman" w:hAnsi="Times New Roman"/>
          <w:sz w:val="27"/>
        </w:rPr>
        <w:t xml:space="preserve">! </w:t>
      </w:r>
      <w:r>
        <w:rPr>
          <w:rFonts w:ascii="Times New Roman" w:hAnsi="Times New Roman"/>
          <w:sz w:val="27"/>
        </w:rPr>
        <w:t xml:space="preserve"> </w:t>
      </w:r>
      <w:r>
        <w:rPr>
          <w:rFonts w:ascii="Times New Roman" w:hAnsi="Times New Roman"/>
          <w:sz w:val="27"/>
        </w:rPr>
        <w:t>Записаться на прием можно через личный кабинет гражданина на сайте ПФР в разделе «Запись на прием» (</w:t>
      </w:r>
      <w:r>
        <w:rPr>
          <w:rFonts w:ascii="Times New Roman" w:hAnsi="Times New Roman"/>
          <w:color w:val="0070C0"/>
          <w:sz w:val="27"/>
        </w:rPr>
        <w:t>es.pfrf.ru</w:t>
      </w:r>
      <w:r>
        <w:rPr>
          <w:rFonts w:ascii="Times New Roman" w:hAnsi="Times New Roman"/>
          <w:color w:val="0070C0"/>
          <w:sz w:val="27"/>
        </w:rPr>
        <w:t>/</w:t>
      </w:r>
      <w:r>
        <w:rPr>
          <w:rFonts w:ascii="Times New Roman" w:hAnsi="Times New Roman"/>
          <w:color w:val="0070C0"/>
          <w:sz w:val="27"/>
        </w:rPr>
        <w:t>znp</w:t>
      </w:r>
      <w:r>
        <w:rPr>
          <w:rFonts w:ascii="Times New Roman" w:hAnsi="Times New Roman"/>
          <w:color w:val="0070C0"/>
          <w:sz w:val="27"/>
        </w:rPr>
        <w:t>.</w:t>
      </w:r>
      <w:r>
        <w:rPr>
          <w:rFonts w:ascii="Times New Roman" w:hAnsi="Times New Roman"/>
          <w:sz w:val="27"/>
        </w:rPr>
        <w:t xml:space="preserve">) или же </w:t>
      </w:r>
      <w:r>
        <w:rPr>
          <w:rFonts w:ascii="Times New Roman" w:hAnsi="Times New Roman"/>
          <w:sz w:val="27"/>
        </w:rPr>
        <w:t xml:space="preserve"> по телефонам горячих линий, которые размещены на региональной странице официального сайта ПФР в разделе </w:t>
      </w:r>
      <w:r>
        <w:rPr>
          <w:rFonts w:ascii="Times New Roman" w:hAnsi="Times New Roman"/>
          <w:color w:val="000000"/>
          <w:sz w:val="27"/>
        </w:rPr>
        <w:t xml:space="preserve"> «Контакты региона» - «Структура отделения» (</w:t>
      </w:r>
      <w:r>
        <w:rPr>
          <w:rStyle w:val="Style_2_ch"/>
          <w:rFonts w:ascii="Times New Roman" w:hAnsi="Times New Roman"/>
          <w:sz w:val="27"/>
        </w:rPr>
        <w:fldChar w:fldCharType="begin"/>
      </w:r>
      <w:r>
        <w:rPr>
          <w:rStyle w:val="Style_2_ch"/>
          <w:rFonts w:ascii="Times New Roman" w:hAnsi="Times New Roman"/>
          <w:sz w:val="27"/>
        </w:rPr>
        <w:instrText>HYPERLINK "http://www.pfrf.ru/branches/mordovia/contacts/"</w:instrText>
      </w:r>
      <w:r>
        <w:rPr>
          <w:rStyle w:val="Style_2_ch"/>
          <w:rFonts w:ascii="Times New Roman" w:hAnsi="Times New Roman"/>
          <w:sz w:val="27"/>
        </w:rPr>
        <w:fldChar w:fldCharType="separate"/>
      </w:r>
      <w:r>
        <w:rPr>
          <w:rStyle w:val="Style_2_ch"/>
          <w:rFonts w:ascii="Times New Roman" w:hAnsi="Times New Roman"/>
          <w:sz w:val="27"/>
        </w:rPr>
        <w:t>http://www.pfrf.ru/branches/mordovia/contacts/</w:t>
      </w:r>
      <w:r>
        <w:rPr>
          <w:rStyle w:val="Style_2_ch"/>
          <w:rFonts w:ascii="Times New Roman" w:hAnsi="Times New Roman"/>
          <w:sz w:val="27"/>
        </w:rPr>
        <w:fldChar w:fldCharType="end"/>
      </w:r>
      <w:r>
        <w:rPr>
          <w:rFonts w:ascii="Times New Roman" w:hAnsi="Times New Roman"/>
          <w:sz w:val="27"/>
        </w:rPr>
        <w:t>)</w:t>
      </w:r>
    </w:p>
    <w:p w14:paraId="0A000000">
      <w:pPr>
        <w:spacing w:afterAutospacing="on" w:beforeAutospacing="on" w:line="240" w:lineRule="auto"/>
        <w:ind w:firstLine="425" w:left="-851"/>
        <w:jc w:val="both"/>
        <w:rPr>
          <w:rFonts w:ascii="Times New Roman" w:hAnsi="Times New Roman"/>
          <w:sz w:val="27"/>
        </w:rPr>
      </w:pPr>
      <w:r>
        <w:rPr>
          <w:rFonts w:ascii="Times New Roman" w:hAnsi="Times New Roman"/>
          <w:sz w:val="27"/>
        </w:rPr>
        <w:t xml:space="preserve">Также, Отделение ПФР по Республике Мордовия  напоминает, что большинство ключевых услуг Пенсионного фонда  можно получить дистанционно – в Личном кабинете гражданина на сайте ПФР или через портал государственных услуг. </w:t>
      </w:r>
    </w:p>
    <w:p w14:paraId="0B000000">
      <w:pPr>
        <w:spacing w:afterAutospacing="on" w:beforeAutospacing="on" w:line="240" w:lineRule="auto"/>
        <w:ind w:firstLine="567" w:left="-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7"/>
        </w:rPr>
        <w:t>Берегите себя и своих близких!</w:t>
      </w:r>
    </w:p>
    <w:p w14:paraId="0C000000"/>
    <w:sectPr>
      <w:pgSz w:h="16838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abstractNum w:abstractNumId="0">
    <w:lvl w:ilvl="0">
      <w:start w:val="1"/>
      <w:numFmt w:val="bullet"/>
      <w:lvlText w:val=""/>
      <w:lvlJc w:val="left"/>
      <w:pPr>
        <w:ind w:hanging="360" w:left="294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hanging="360" w:left="1014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hanging="360" w:left="1734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hanging="360" w:left="2454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hanging="360" w:left="3174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hanging="360" w:left="3894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hanging="360" w:left="4614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hanging="360" w:left="5334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hanging="360" w:left="6054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toc 2"/>
    <w:next w:val="Style_3"/>
    <w:link w:val="Style_4_ch"/>
    <w:uiPriority w:val="39"/>
    <w:pPr>
      <w:ind w:firstLine="0" w:left="200"/>
    </w:pPr>
  </w:style>
  <w:style w:styleId="Style_4_ch" w:type="character">
    <w:name w:val="toc 2"/>
    <w:link w:val="Style_4"/>
  </w:style>
  <w:style w:styleId="Style_5" w:type="paragraph">
    <w:name w:val="toc 4"/>
    <w:next w:val="Style_3"/>
    <w:link w:val="Style_5_ch"/>
    <w:uiPriority w:val="39"/>
    <w:pPr>
      <w:ind w:firstLine="0" w:left="600"/>
    </w:pPr>
  </w:style>
  <w:style w:styleId="Style_5_ch" w:type="character">
    <w:name w:val="toc 4"/>
    <w:link w:val="Style_5"/>
  </w:style>
  <w:style w:styleId="Style_6" w:type="paragraph">
    <w:name w:val="toc 6"/>
    <w:next w:val="Style_3"/>
    <w:link w:val="Style_6_ch"/>
    <w:uiPriority w:val="39"/>
    <w:pPr>
      <w:ind w:firstLine="0" w:left="1000"/>
    </w:pPr>
  </w:style>
  <w:style w:styleId="Style_6_ch" w:type="character">
    <w:name w:val="toc 6"/>
    <w:link w:val="Style_6"/>
  </w:style>
  <w:style w:styleId="Style_7" w:type="paragraph">
    <w:name w:val="toc 7"/>
    <w:next w:val="Style_3"/>
    <w:link w:val="Style_7_ch"/>
    <w:uiPriority w:val="39"/>
    <w:pPr>
      <w:ind w:firstLine="0" w:left="1200"/>
    </w:pPr>
  </w:style>
  <w:style w:styleId="Style_7_ch" w:type="character">
    <w:name w:val="toc 7"/>
    <w:link w:val="Style_7"/>
  </w:style>
  <w:style w:styleId="Style_8" w:type="paragraph">
    <w:name w:val="heading 3"/>
    <w:next w:val="Style_3"/>
    <w:link w:val="Style_8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8_ch" w:type="character">
    <w:name w:val="heading 3"/>
    <w:link w:val="Style_8"/>
    <w:rPr>
      <w:rFonts w:ascii="XO Thames" w:hAnsi="XO Thames"/>
      <w:b w:val="1"/>
      <w:i w:val="1"/>
      <w:color w:val="000000"/>
    </w:rPr>
  </w:style>
  <w:style w:styleId="Style_1" w:type="paragraph">
    <w:name w:val="No Spacing"/>
    <w:link w:val="Style_1_ch"/>
    <w:pPr>
      <w:spacing w:after="0" w:line="240" w:lineRule="auto"/>
      <w:ind/>
    </w:pPr>
  </w:style>
  <w:style w:styleId="Style_1_ch" w:type="character">
    <w:name w:val="No Spacing"/>
    <w:link w:val="Style_1"/>
  </w:style>
  <w:style w:styleId="Style_9" w:type="paragraph">
    <w:name w:val="toc 3"/>
    <w:next w:val="Style_3"/>
    <w:link w:val="Style_9_ch"/>
    <w:uiPriority w:val="39"/>
    <w:pPr>
      <w:ind w:firstLine="0" w:left="400"/>
    </w:pPr>
  </w:style>
  <w:style w:styleId="Style_9_ch" w:type="character">
    <w:name w:val="toc 3"/>
    <w:link w:val="Style_9"/>
  </w:style>
  <w:style w:styleId="Style_10" w:type="paragraph">
    <w:name w:val="Default Paragraph Font"/>
    <w:link w:val="Style_10_ch"/>
  </w:style>
  <w:style w:styleId="Style_10_ch" w:type="character">
    <w:name w:val="Default Paragraph Font"/>
    <w:link w:val="Style_10"/>
  </w:style>
  <w:style w:styleId="Style_11" w:type="paragraph">
    <w:name w:val="heading 5"/>
    <w:next w:val="Style_3"/>
    <w:link w:val="Style_11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1_ch" w:type="character">
    <w:name w:val="heading 5"/>
    <w:link w:val="Style_11"/>
    <w:rPr>
      <w:rFonts w:ascii="XO Thames" w:hAnsi="XO Thames"/>
      <w:b w:val="1"/>
      <w:color w:val="000000"/>
      <w:sz w:val="22"/>
    </w:rPr>
  </w:style>
  <w:style w:styleId="Style_12" w:type="paragraph">
    <w:name w:val="heading 1"/>
    <w:next w:val="Style_3"/>
    <w:link w:val="Style_12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2_ch" w:type="character">
    <w:name w:val="heading 1"/>
    <w:link w:val="Style_12"/>
    <w:rPr>
      <w:rFonts w:ascii="XO Thames" w:hAnsi="XO Thames"/>
      <w:b w:val="1"/>
      <w:sz w:val="32"/>
    </w:rPr>
  </w:style>
  <w:style w:styleId="Style_2" w:type="paragraph">
    <w:name w:val="Hyperlink"/>
    <w:basedOn w:val="Style_10"/>
    <w:link w:val="Style_2_ch"/>
    <w:rPr>
      <w:color w:val="0000FF"/>
      <w:u w:val="single"/>
    </w:rPr>
  </w:style>
  <w:style w:styleId="Style_2_ch" w:type="character">
    <w:name w:val="Hyperlink"/>
    <w:basedOn w:val="Style_10_ch"/>
    <w:link w:val="Style_2"/>
    <w:rPr>
      <w:color w:val="0000FF"/>
      <w:u w:val="single"/>
    </w:rPr>
  </w:style>
  <w:style w:styleId="Style_13" w:type="paragraph">
    <w:name w:val="Footnote"/>
    <w:link w:val="Style_13_ch"/>
    <w:pPr>
      <w:ind/>
      <w:jc w:val="left"/>
    </w:pPr>
    <w:rPr>
      <w:rFonts w:ascii="XO Thames" w:hAnsi="XO Thames"/>
      <w:sz w:val="22"/>
    </w:rPr>
  </w:style>
  <w:style w:styleId="Style_13_ch" w:type="character">
    <w:name w:val="Footnote"/>
    <w:link w:val="Style_13"/>
    <w:rPr>
      <w:rFonts w:ascii="XO Thames" w:hAnsi="XO Thames"/>
      <w:sz w:val="22"/>
    </w:rPr>
  </w:style>
  <w:style w:styleId="Style_14" w:type="paragraph">
    <w:name w:val="toc 1"/>
    <w:next w:val="Style_3"/>
    <w:link w:val="Style_14_ch"/>
    <w:uiPriority w:val="39"/>
    <w:pPr>
      <w:ind w:firstLine="0" w:left="0"/>
    </w:pPr>
    <w:rPr>
      <w:rFonts w:ascii="XO Thames" w:hAnsi="XO Thames"/>
      <w:b w:val="1"/>
    </w:rPr>
  </w:style>
  <w:style w:styleId="Style_14_ch" w:type="character">
    <w:name w:val="toc 1"/>
    <w:link w:val="Style_14"/>
    <w:rPr>
      <w:rFonts w:ascii="XO Thames" w:hAnsi="XO Thames"/>
      <w:b w:val="1"/>
    </w:rPr>
  </w:style>
  <w:style w:styleId="Style_15" w:type="paragraph">
    <w:name w:val="Header and Footer"/>
    <w:link w:val="Style_15_ch"/>
    <w:pPr>
      <w:spacing w:line="360" w:lineRule="auto"/>
      <w:ind/>
    </w:pPr>
    <w:rPr>
      <w:rFonts w:ascii="XO Thames" w:hAnsi="XO Thames"/>
      <w:sz w:val="20"/>
    </w:rPr>
  </w:style>
  <w:style w:styleId="Style_15_ch" w:type="character">
    <w:name w:val="Header and Footer"/>
    <w:link w:val="Style_15"/>
    <w:rPr>
      <w:rFonts w:ascii="XO Thames" w:hAnsi="XO Thames"/>
      <w:sz w:val="20"/>
    </w:rPr>
  </w:style>
  <w:style w:styleId="Style_16" w:type="paragraph">
    <w:name w:val="toc 9"/>
    <w:next w:val="Style_3"/>
    <w:link w:val="Style_16_ch"/>
    <w:uiPriority w:val="39"/>
    <w:pPr>
      <w:ind w:firstLine="0" w:left="1600"/>
    </w:pPr>
  </w:style>
  <w:style w:styleId="Style_16_ch" w:type="character">
    <w:name w:val="toc 9"/>
    <w:link w:val="Style_16"/>
  </w:style>
  <w:style w:styleId="Style_17" w:type="paragraph">
    <w:name w:val="toc 8"/>
    <w:next w:val="Style_3"/>
    <w:link w:val="Style_17_ch"/>
    <w:uiPriority w:val="39"/>
    <w:pPr>
      <w:ind w:firstLine="0" w:left="1400"/>
    </w:pPr>
  </w:style>
  <w:style w:styleId="Style_17_ch" w:type="character">
    <w:name w:val="toc 8"/>
    <w:link w:val="Style_17"/>
  </w:style>
  <w:style w:styleId="Style_18" w:type="paragraph">
    <w:name w:val="toc 5"/>
    <w:next w:val="Style_3"/>
    <w:link w:val="Style_18_ch"/>
    <w:uiPriority w:val="39"/>
    <w:pPr>
      <w:ind w:firstLine="0" w:left="800"/>
    </w:pPr>
  </w:style>
  <w:style w:styleId="Style_18_ch" w:type="character">
    <w:name w:val="toc 5"/>
    <w:link w:val="Style_18"/>
  </w:style>
  <w:style w:styleId="Style_19" w:type="paragraph">
    <w:name w:val="Subtitle"/>
    <w:next w:val="Style_3"/>
    <w:link w:val="Style_19_ch"/>
    <w:uiPriority w:val="11"/>
    <w:qFormat/>
    <w:rPr>
      <w:rFonts w:ascii="XO Thames" w:hAnsi="XO Thames"/>
      <w:i w:val="1"/>
      <w:color w:val="616161"/>
      <w:sz w:val="24"/>
    </w:rPr>
  </w:style>
  <w:style w:styleId="Style_19_ch" w:type="character">
    <w:name w:val="Subtitle"/>
    <w:link w:val="Style_19"/>
    <w:rPr>
      <w:rFonts w:ascii="XO Thames" w:hAnsi="XO Thames"/>
      <w:i w:val="1"/>
      <w:color w:val="616161"/>
      <w:sz w:val="24"/>
    </w:rPr>
  </w:style>
  <w:style w:styleId="Style_20" w:type="paragraph">
    <w:name w:val="toc 10"/>
    <w:next w:val="Style_3"/>
    <w:link w:val="Style_20_ch"/>
    <w:uiPriority w:val="39"/>
    <w:pPr>
      <w:ind w:firstLine="0" w:left="1800"/>
    </w:pPr>
  </w:style>
  <w:style w:styleId="Style_20_ch" w:type="character">
    <w:name w:val="toc 10"/>
    <w:link w:val="Style_20"/>
  </w:style>
  <w:style w:styleId="Style_21" w:type="paragraph">
    <w:name w:val="Title"/>
    <w:next w:val="Style_3"/>
    <w:link w:val="Style_21_ch"/>
    <w:uiPriority w:val="10"/>
    <w:qFormat/>
    <w:rPr>
      <w:rFonts w:ascii="XO Thames" w:hAnsi="XO Thames"/>
      <w:b w:val="1"/>
      <w:sz w:val="52"/>
    </w:rPr>
  </w:style>
  <w:style w:styleId="Style_21_ch" w:type="character">
    <w:name w:val="Title"/>
    <w:link w:val="Style_21"/>
    <w:rPr>
      <w:rFonts w:ascii="XO Thames" w:hAnsi="XO Thames"/>
      <w:b w:val="1"/>
      <w:sz w:val="52"/>
    </w:rPr>
  </w:style>
  <w:style w:styleId="Style_22" w:type="paragraph">
    <w:name w:val="heading 4"/>
    <w:next w:val="Style_3"/>
    <w:link w:val="Style_22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2_ch" w:type="character">
    <w:name w:val="heading 4"/>
    <w:link w:val="Style_22"/>
    <w:rPr>
      <w:rFonts w:ascii="XO Thames" w:hAnsi="XO Thames"/>
      <w:b w:val="1"/>
      <w:color w:val="595959"/>
      <w:sz w:val="26"/>
    </w:rPr>
  </w:style>
  <w:style w:styleId="Style_23" w:type="paragraph">
    <w:name w:val="heading 2"/>
    <w:next w:val="Style_3"/>
    <w:link w:val="Style_23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3_ch" w:type="character">
    <w:name w:val="heading 2"/>
    <w:link w:val="Style_23"/>
    <w:rPr>
      <w:rFonts w:ascii="XO Thames" w:hAnsi="XO Thames"/>
      <w:b w:val="1"/>
      <w:color w:val="00A0FF"/>
      <w:sz w:val="26"/>
    </w:rPr>
  </w:style>
  <w:style w:default="1" w:styleId="Style_24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numbering.xml" Type="http://schemas.openxmlformats.org/officeDocument/2006/relationships/numbering"/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 w="9525">
          <a:solidFill>
            <a:schemeClr val="phClr">
              <a:shade val="95%"/>
              <a:satMod val="105%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