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ТАСС, 10.03.2020, 11:24, Комитет Госдумы одобрил ко </w:t>
      </w:r>
      <w:r w:rsidRPr="00BB59BA">
        <w:rPr>
          <w:rFonts w:ascii="sans-serif" w:hAnsi="sans-serif"/>
          <w:szCs w:val="24"/>
        </w:rPr>
        <w:t xml:space="preserve">II </w:t>
      </w:r>
      <w:r w:rsidRPr="00BB59BA">
        <w:rPr>
          <w:rFonts w:ascii="sans-serif" w:hAnsi="sans-serif"/>
          <w:szCs w:val="24"/>
        </w:rPr>
        <w:t xml:space="preserve">чтению поправки в бюджет ПФР, увеличивающие </w:t>
      </w:r>
      <w:proofErr w:type="spellStart"/>
      <w:r w:rsidRPr="00BB59BA">
        <w:rPr>
          <w:rFonts w:ascii="sans-serif" w:hAnsi="sans-serif"/>
          <w:szCs w:val="24"/>
        </w:rPr>
        <w:t>маткапитал</w:t>
      </w:r>
      <w:proofErr w:type="spellEnd"/>
    </w:p>
    <w:p w:rsid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Комитет Госдумы по бюджету и налогам рекомендовал </w:t>
      </w:r>
      <w:r w:rsidRPr="00BB59BA">
        <w:rPr>
          <w:rFonts w:ascii="sans-serif" w:hAnsi="sans-serif"/>
          <w:szCs w:val="24"/>
        </w:rPr>
        <w:t xml:space="preserve">нижней палате парламента принять во втором чтении поправки в бюджет </w:t>
      </w:r>
      <w:r w:rsidRPr="00BB59BA">
        <w:rPr>
          <w:rFonts w:ascii="sans-serif" w:hAnsi="sans-serif"/>
          <w:szCs w:val="24"/>
        </w:rPr>
        <w:t xml:space="preserve">Пенсионного </w:t>
      </w:r>
      <w:r w:rsidRPr="00BB59BA">
        <w:rPr>
          <w:rFonts w:ascii="sans-serif" w:hAnsi="sans-serif"/>
          <w:szCs w:val="24"/>
        </w:rPr>
        <w:t xml:space="preserve">фонда </w:t>
      </w:r>
      <w:r w:rsidRPr="00BB59BA">
        <w:rPr>
          <w:rFonts w:ascii="sans-serif" w:hAnsi="sans-serif"/>
          <w:szCs w:val="24"/>
        </w:rPr>
        <w:t>России (</w:t>
      </w:r>
      <w:r w:rsidRPr="00BB59BA">
        <w:rPr>
          <w:rFonts w:ascii="sans-serif" w:hAnsi="sans-serif"/>
          <w:szCs w:val="24"/>
        </w:rPr>
        <w:t>ПФР</w:t>
      </w:r>
      <w:r w:rsidRPr="00BB59BA">
        <w:rPr>
          <w:rFonts w:ascii="sans-serif" w:hAnsi="sans-serif"/>
          <w:szCs w:val="24"/>
        </w:rPr>
        <w:t xml:space="preserve">) на 2020 год и плановый период 2021-2022 годов, подготовленные </w:t>
      </w:r>
      <w:r w:rsidRPr="00BB59BA">
        <w:rPr>
          <w:rFonts w:ascii="sans-serif" w:hAnsi="sans-serif"/>
          <w:szCs w:val="24"/>
        </w:rPr>
        <w:t xml:space="preserve">правительством РФ для реализации мер, озвученных президентом РФ в послании </w:t>
      </w:r>
      <w:r w:rsidRPr="00BB59BA">
        <w:rPr>
          <w:rFonts w:ascii="sans-serif" w:hAnsi="sans-serif"/>
          <w:szCs w:val="24"/>
        </w:rPr>
        <w:t>Федеральному собранию 15 января 2020 года.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Поправки предусматривают увеличение общего </w:t>
      </w:r>
      <w:r w:rsidRPr="00BB59BA">
        <w:rPr>
          <w:rFonts w:ascii="sans-serif" w:hAnsi="sans-serif"/>
          <w:szCs w:val="24"/>
        </w:rPr>
        <w:t xml:space="preserve">объема доходов бюджета </w:t>
      </w:r>
      <w:r w:rsidRPr="00BB59BA">
        <w:rPr>
          <w:rFonts w:ascii="sans-serif" w:hAnsi="sans-serif"/>
          <w:szCs w:val="24"/>
        </w:rPr>
        <w:t xml:space="preserve">ПФР </w:t>
      </w:r>
      <w:r w:rsidRPr="00BB59BA">
        <w:rPr>
          <w:rFonts w:ascii="sans-serif" w:hAnsi="sans-serif"/>
          <w:szCs w:val="24"/>
        </w:rPr>
        <w:t>на 13,5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в результате объем доходов на 2020 год составит 8,937 </w:t>
      </w:r>
      <w:proofErr w:type="spellStart"/>
      <w:r w:rsidRPr="00BB59BA">
        <w:rPr>
          <w:rFonts w:ascii="sans-serif" w:hAnsi="sans-serif"/>
          <w:szCs w:val="24"/>
        </w:rPr>
        <w:t>трлн</w:t>
      </w:r>
      <w:proofErr w:type="spellEnd"/>
      <w:r w:rsidRPr="00BB59BA">
        <w:rPr>
          <w:rFonts w:ascii="sans-serif" w:hAnsi="sans-serif"/>
          <w:szCs w:val="24"/>
        </w:rPr>
        <w:t xml:space="preserve"> рублей, или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7,9% к ВВП. Общий объем расходов бюджета </w:t>
      </w:r>
      <w:r w:rsidRPr="00BB59BA">
        <w:rPr>
          <w:rFonts w:ascii="sans-serif" w:hAnsi="sans-serif"/>
          <w:szCs w:val="24"/>
        </w:rPr>
        <w:t xml:space="preserve">ПФР </w:t>
      </w:r>
      <w:r w:rsidRPr="00BB59BA">
        <w:rPr>
          <w:rFonts w:ascii="sans-serif" w:hAnsi="sans-serif"/>
          <w:szCs w:val="24"/>
        </w:rPr>
        <w:t xml:space="preserve">увеличивается на 104,2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рублей и составит в 2020 году 9,147 </w:t>
      </w:r>
      <w:proofErr w:type="spellStart"/>
      <w:proofErr w:type="gramStart"/>
      <w:r w:rsidRPr="00BB59BA">
        <w:rPr>
          <w:rFonts w:ascii="sans-serif" w:hAnsi="sans-serif"/>
          <w:szCs w:val="24"/>
        </w:rPr>
        <w:t>трлн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при этом по отн</w:t>
      </w:r>
      <w:r w:rsidRPr="00BB59BA">
        <w:rPr>
          <w:rFonts w:ascii="sans-serif" w:hAnsi="sans-serif"/>
          <w:szCs w:val="24"/>
        </w:rPr>
        <w:t>ошению к ВВП доля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расходов составит 8%. Дефицит бюджета фонда в 2020 году составит 209,2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рублей, или 0,18% к ВВП, из них в части, не связанной с формированием средств </w:t>
      </w:r>
      <w:proofErr w:type="gramStart"/>
      <w:r w:rsidRPr="00BB59BA">
        <w:rPr>
          <w:rFonts w:ascii="sans-serif" w:hAnsi="sans-serif"/>
          <w:szCs w:val="24"/>
        </w:rPr>
        <w:t>для</w:t>
      </w:r>
      <w:proofErr w:type="gram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финансирования </w:t>
      </w:r>
      <w:r w:rsidRPr="00BB59BA">
        <w:rPr>
          <w:rFonts w:ascii="sans-serif" w:hAnsi="sans-serif"/>
          <w:szCs w:val="24"/>
        </w:rPr>
        <w:t>накопительной пенсии</w:t>
      </w:r>
      <w:r w:rsidRPr="00BB59BA">
        <w:rPr>
          <w:rFonts w:ascii="sans-serif" w:hAnsi="sans-serif"/>
          <w:szCs w:val="24"/>
        </w:rPr>
        <w:t xml:space="preserve">, - 213,7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или 0,2% к ВВП.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r w:rsidRPr="00BB59BA">
        <w:rPr>
          <w:rFonts w:ascii="sans-serif" w:hAnsi="sans-serif"/>
          <w:szCs w:val="24"/>
        </w:rPr>
        <w:t>Профиц</w:t>
      </w:r>
      <w:r w:rsidRPr="00BB59BA">
        <w:rPr>
          <w:rFonts w:ascii="sans-serif" w:hAnsi="sans-serif"/>
          <w:szCs w:val="24"/>
        </w:rPr>
        <w:t>ит</w:t>
      </w:r>
      <w:proofErr w:type="spellEnd"/>
      <w:r w:rsidRPr="00BB59BA">
        <w:rPr>
          <w:rFonts w:ascii="sans-serif" w:hAnsi="sans-serif"/>
          <w:szCs w:val="24"/>
        </w:rPr>
        <w:t xml:space="preserve"> в части, связанной с формированием сре</w:t>
      </w:r>
      <w:proofErr w:type="gramStart"/>
      <w:r w:rsidRPr="00BB59BA">
        <w:rPr>
          <w:rFonts w:ascii="sans-serif" w:hAnsi="sans-serif"/>
          <w:szCs w:val="24"/>
        </w:rPr>
        <w:t>дств дл</w:t>
      </w:r>
      <w:proofErr w:type="gramEnd"/>
      <w:r w:rsidRPr="00BB59BA">
        <w:rPr>
          <w:rFonts w:ascii="sans-serif" w:hAnsi="sans-serif"/>
          <w:szCs w:val="24"/>
        </w:rPr>
        <w:t>я финансирования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>накопительной пенсии</w:t>
      </w:r>
      <w:r w:rsidRPr="00BB59BA">
        <w:rPr>
          <w:rFonts w:ascii="sans-serif" w:hAnsi="sans-serif"/>
          <w:szCs w:val="24"/>
        </w:rPr>
        <w:t xml:space="preserve">, составит 4,6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или 0,004% к ВВП.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Общий объем доходов бюджета фонда на 2021 год увеличивается на 177,5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и составит 9,474 </w:t>
      </w:r>
      <w:proofErr w:type="spellStart"/>
      <w:proofErr w:type="gramStart"/>
      <w:r w:rsidRPr="00BB59BA">
        <w:rPr>
          <w:rFonts w:ascii="sans-serif" w:hAnsi="sans-serif"/>
          <w:szCs w:val="24"/>
        </w:rPr>
        <w:t>трлн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(7,9% к ВВП), </w:t>
      </w:r>
      <w:r w:rsidRPr="00BB59BA">
        <w:rPr>
          <w:rFonts w:ascii="sans-serif" w:hAnsi="sans-serif"/>
          <w:szCs w:val="24"/>
        </w:rPr>
        <w:t xml:space="preserve">на 2022 год увеличивается на 232,3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рублей, до 9,953 </w:t>
      </w:r>
      <w:proofErr w:type="spellStart"/>
      <w:proofErr w:type="gramStart"/>
      <w:r w:rsidRPr="00BB59BA">
        <w:rPr>
          <w:rFonts w:ascii="sans-serif" w:hAnsi="sans-serif"/>
          <w:szCs w:val="24"/>
        </w:rPr>
        <w:t>трлн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(7,7% к ВВП). Общий объем расходов бюджета </w:t>
      </w:r>
      <w:r w:rsidRPr="00BB59BA">
        <w:rPr>
          <w:rFonts w:ascii="sans-serif" w:hAnsi="sans-serif"/>
          <w:szCs w:val="24"/>
        </w:rPr>
        <w:t xml:space="preserve">ПФР </w:t>
      </w:r>
      <w:proofErr w:type="gramStart"/>
      <w:r w:rsidRPr="00BB59BA">
        <w:rPr>
          <w:rFonts w:ascii="sans-serif" w:hAnsi="sans-serif"/>
          <w:szCs w:val="24"/>
        </w:rPr>
        <w:t>на</w:t>
      </w:r>
      <w:proofErr w:type="gram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2021 год увеличивается на 176,2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до 9,501 </w:t>
      </w:r>
      <w:proofErr w:type="spellStart"/>
      <w:r w:rsidRPr="00BB59BA">
        <w:rPr>
          <w:rFonts w:ascii="sans-serif" w:hAnsi="sans-serif"/>
          <w:szCs w:val="24"/>
        </w:rPr>
        <w:t>трлн</w:t>
      </w:r>
      <w:proofErr w:type="spellEnd"/>
      <w:r w:rsidRPr="00BB59BA">
        <w:rPr>
          <w:rFonts w:ascii="sans-serif" w:hAnsi="sans-serif"/>
          <w:szCs w:val="24"/>
        </w:rPr>
        <w:t xml:space="preserve"> рублей (7,9% к ВВП), на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2022 год - на 263,6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до 9,966 </w:t>
      </w:r>
      <w:proofErr w:type="spellStart"/>
      <w:r w:rsidRPr="00BB59BA">
        <w:rPr>
          <w:rFonts w:ascii="sans-serif" w:hAnsi="sans-serif"/>
          <w:szCs w:val="24"/>
        </w:rPr>
        <w:t>трлн</w:t>
      </w:r>
      <w:proofErr w:type="spellEnd"/>
      <w:r w:rsidRPr="00BB59BA">
        <w:rPr>
          <w:rFonts w:ascii="sans-serif" w:hAnsi="sans-serif"/>
          <w:szCs w:val="24"/>
        </w:rPr>
        <w:t xml:space="preserve"> рублей </w:t>
      </w:r>
      <w:r w:rsidRPr="00BB59BA">
        <w:rPr>
          <w:rFonts w:ascii="sans-serif" w:hAnsi="sans-serif"/>
          <w:szCs w:val="24"/>
        </w:rPr>
        <w:t>(7,7% к ВВП).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>Общий объем средств федерального бюджета, передаваемых в бюджет фонда в форме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межбюджетных трансфертов, на 2020 год уменьшен на 21,5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и составит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3,217 </w:t>
      </w:r>
      <w:proofErr w:type="spellStart"/>
      <w:proofErr w:type="gramStart"/>
      <w:r w:rsidRPr="00BB59BA">
        <w:rPr>
          <w:rFonts w:ascii="sans-serif" w:hAnsi="sans-serif"/>
          <w:szCs w:val="24"/>
        </w:rPr>
        <w:t>трлн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в том числе: трансферт на предоставление </w:t>
      </w:r>
      <w:r w:rsidRPr="00BB59BA">
        <w:rPr>
          <w:rFonts w:ascii="sans-serif" w:hAnsi="sans-serif"/>
          <w:szCs w:val="24"/>
        </w:rPr>
        <w:t>материнского капитала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увеличен на 111,9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(с 316,4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до 428,3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рублей), трансферт на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обязательное </w:t>
      </w:r>
      <w:r w:rsidRPr="00BB59BA">
        <w:rPr>
          <w:rFonts w:ascii="sans-serif" w:hAnsi="sans-serif"/>
          <w:szCs w:val="24"/>
        </w:rPr>
        <w:t xml:space="preserve">пенсионное страхование </w:t>
      </w:r>
      <w:r w:rsidRPr="00BB59BA">
        <w:rPr>
          <w:rFonts w:ascii="sans-serif" w:hAnsi="sans-serif"/>
          <w:szCs w:val="24"/>
        </w:rPr>
        <w:t xml:space="preserve">(ОПС) уменьшен на 126,2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(с 966,7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до 840,5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рублей). В 2021 году объем средств, передаваемых в бюджет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ПФР </w:t>
      </w:r>
      <w:r w:rsidRPr="00BB59BA">
        <w:rPr>
          <w:rFonts w:ascii="sans-serif" w:hAnsi="sans-serif"/>
          <w:szCs w:val="24"/>
        </w:rPr>
        <w:t xml:space="preserve">в форме </w:t>
      </w:r>
      <w:r w:rsidRPr="00BB59BA">
        <w:rPr>
          <w:rFonts w:ascii="sans-serif" w:hAnsi="sans-serif"/>
          <w:szCs w:val="24"/>
        </w:rPr>
        <w:t xml:space="preserve">межбюджетных трансфертов, будет увеличен на 135,3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рублей, до 3,351 </w:t>
      </w:r>
      <w:proofErr w:type="spellStart"/>
      <w:r w:rsidRPr="00BB59BA">
        <w:rPr>
          <w:rFonts w:ascii="sans-serif" w:hAnsi="sans-serif"/>
          <w:szCs w:val="24"/>
        </w:rPr>
        <w:t>трлн</w:t>
      </w:r>
      <w:proofErr w:type="spellEnd"/>
      <w:r w:rsidRPr="00BB59BA">
        <w:rPr>
          <w:rFonts w:ascii="sans-serif" w:hAnsi="sans-serif"/>
          <w:szCs w:val="24"/>
        </w:rPr>
        <w:t xml:space="preserve"> рублей, в том числе трансферт на </w:t>
      </w:r>
      <w:proofErr w:type="spellStart"/>
      <w:r w:rsidRPr="00BB59BA">
        <w:rPr>
          <w:rFonts w:ascii="sans-serif" w:hAnsi="sans-serif"/>
          <w:szCs w:val="24"/>
        </w:rPr>
        <w:t>маткапитал</w:t>
      </w:r>
      <w:proofErr w:type="spellEnd"/>
      <w:r w:rsidRPr="00BB59BA">
        <w:rPr>
          <w:rFonts w:ascii="sans-serif" w:hAnsi="sans-serif"/>
          <w:szCs w:val="24"/>
        </w:rPr>
        <w:t xml:space="preserve"> увеличится на 193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 (с </w:t>
      </w:r>
      <w:r w:rsidRPr="00BB59BA">
        <w:rPr>
          <w:rFonts w:ascii="sans-serif" w:hAnsi="sans-serif"/>
          <w:szCs w:val="24"/>
        </w:rPr>
        <w:t xml:space="preserve">329,3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до 522,3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рублей), а трансферт ОПС уменьшится на 41,5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  </w:t>
      </w:r>
      <w:r w:rsidRPr="00BB59BA">
        <w:rPr>
          <w:rFonts w:ascii="sans-serif" w:hAnsi="sans-serif"/>
          <w:szCs w:val="24"/>
        </w:rPr>
        <w:t>(</w:t>
      </w:r>
      <w:r w:rsidRPr="00BB59BA">
        <w:rPr>
          <w:rFonts w:ascii="sans-serif" w:hAnsi="sans-serif"/>
          <w:szCs w:val="24"/>
        </w:rPr>
        <w:t xml:space="preserve">с </w:t>
      </w:r>
      <w:r w:rsidRPr="00BB59BA">
        <w:rPr>
          <w:rFonts w:ascii="sans-serif" w:hAnsi="sans-serif"/>
          <w:szCs w:val="24"/>
        </w:rPr>
        <w:t xml:space="preserve">880,9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до 839,</w:t>
      </w:r>
      <w:r w:rsidRPr="00BB59BA">
        <w:rPr>
          <w:rFonts w:ascii="sans-serif" w:hAnsi="sans-serif"/>
          <w:szCs w:val="24"/>
        </w:rPr>
        <w:t xml:space="preserve">4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В 2022 году объем трансфертов увеличится на 190,5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и составит 3,382 </w:t>
      </w:r>
      <w:proofErr w:type="spellStart"/>
      <w:r w:rsidRPr="00BB59BA">
        <w:rPr>
          <w:rFonts w:ascii="sans-serif" w:hAnsi="sans-serif"/>
          <w:szCs w:val="24"/>
        </w:rPr>
        <w:t>трлн</w:t>
      </w:r>
      <w:proofErr w:type="spell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рублей, в том числе трансферт на </w:t>
      </w:r>
      <w:proofErr w:type="spellStart"/>
      <w:r w:rsidRPr="00BB59BA">
        <w:rPr>
          <w:rFonts w:ascii="sans-serif" w:hAnsi="sans-serif"/>
          <w:szCs w:val="24"/>
        </w:rPr>
        <w:t>маткапитал</w:t>
      </w:r>
      <w:proofErr w:type="spellEnd"/>
      <w:r w:rsidRPr="00BB59BA">
        <w:rPr>
          <w:rFonts w:ascii="sans-serif" w:hAnsi="sans-serif"/>
          <w:szCs w:val="24"/>
        </w:rPr>
        <w:t xml:space="preserve"> вырастет на 250,1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рублей (с 299,7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до 549,8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рублей), а трансферт на ОПС уменьшится на 41,1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</w:t>
      </w:r>
      <w:r w:rsidRPr="00BB59BA">
        <w:rPr>
          <w:rFonts w:ascii="sans-serif" w:hAnsi="sans-serif"/>
          <w:szCs w:val="24"/>
        </w:rPr>
        <w:t>блей (с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795,1 </w:t>
      </w:r>
      <w:proofErr w:type="spellStart"/>
      <w:proofErr w:type="gramStart"/>
      <w:r w:rsidRPr="00BB59BA">
        <w:rPr>
          <w:rFonts w:ascii="sans-serif" w:hAnsi="sans-serif"/>
          <w:szCs w:val="24"/>
        </w:rPr>
        <w:t>млрд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до 754 </w:t>
      </w:r>
      <w:proofErr w:type="spellStart"/>
      <w:r w:rsidRPr="00BB59BA">
        <w:rPr>
          <w:rFonts w:ascii="sans-serif" w:hAnsi="sans-serif"/>
          <w:szCs w:val="24"/>
        </w:rPr>
        <w:t>млрд</w:t>
      </w:r>
      <w:proofErr w:type="spellEnd"/>
      <w:r w:rsidRPr="00BB59BA">
        <w:rPr>
          <w:rFonts w:ascii="sans-serif" w:hAnsi="sans-serif"/>
          <w:szCs w:val="24"/>
        </w:rPr>
        <w:t xml:space="preserve"> рублей).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"Объем дополнительных расходов на предоставление </w:t>
      </w:r>
      <w:proofErr w:type="spellStart"/>
      <w:r w:rsidRPr="00BB59BA">
        <w:rPr>
          <w:rFonts w:ascii="sans-serif" w:hAnsi="sans-serif"/>
          <w:szCs w:val="24"/>
        </w:rPr>
        <w:t>маткапитала</w:t>
      </w:r>
      <w:proofErr w:type="spellEnd"/>
      <w:r w:rsidRPr="00BB59BA">
        <w:rPr>
          <w:rFonts w:ascii="sans-serif" w:hAnsi="sans-serif"/>
          <w:szCs w:val="24"/>
        </w:rPr>
        <w:t xml:space="preserve"> определен </w:t>
      </w:r>
      <w:proofErr w:type="gramStart"/>
      <w:r w:rsidRPr="00BB59BA">
        <w:rPr>
          <w:rFonts w:ascii="sans-serif" w:hAnsi="sans-serif"/>
          <w:szCs w:val="24"/>
        </w:rPr>
        <w:t>на</w:t>
      </w:r>
      <w:proofErr w:type="gramEnd"/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основании среднего варианта демографического прогноза </w:t>
      </w:r>
      <w:proofErr w:type="gramStart"/>
      <w:r w:rsidRPr="00BB59BA">
        <w:rPr>
          <w:rFonts w:ascii="sans-serif" w:hAnsi="sans-serif"/>
          <w:szCs w:val="24"/>
        </w:rPr>
        <w:t>родившихся</w:t>
      </w:r>
      <w:proofErr w:type="gramEnd"/>
      <w:r w:rsidRPr="00BB59BA">
        <w:rPr>
          <w:rFonts w:ascii="sans-serif" w:hAnsi="sans-serif"/>
          <w:szCs w:val="24"/>
        </w:rPr>
        <w:t xml:space="preserve"> до 2035 года,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опубликованного Росстатом 26 декабря 2019 г. (1 </w:t>
      </w:r>
      <w:proofErr w:type="spellStart"/>
      <w:proofErr w:type="gramStart"/>
      <w:r w:rsidRPr="00BB59BA">
        <w:rPr>
          <w:rFonts w:ascii="sans-serif" w:hAnsi="sans-serif"/>
          <w:szCs w:val="24"/>
        </w:rPr>
        <w:t>млн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433,3 тыс. </w:t>
      </w:r>
      <w:r w:rsidRPr="00BB59BA">
        <w:rPr>
          <w:rFonts w:ascii="sans-serif" w:hAnsi="sans-serif"/>
          <w:szCs w:val="24"/>
        </w:rPr>
        <w:t>человек в 2020 году, 1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proofErr w:type="gramStart"/>
      <w:r w:rsidRPr="00BB59BA">
        <w:rPr>
          <w:rFonts w:ascii="sans-serif" w:hAnsi="sans-serif"/>
          <w:szCs w:val="24"/>
        </w:rPr>
        <w:t>млн</w:t>
      </w:r>
      <w:proofErr w:type="spellEnd"/>
      <w:proofErr w:type="gramEnd"/>
      <w:r w:rsidRPr="00BB59BA">
        <w:rPr>
          <w:rFonts w:ascii="sans-serif" w:hAnsi="sans-serif"/>
          <w:szCs w:val="24"/>
        </w:rPr>
        <w:t xml:space="preserve"> 412,8 тыс. человек - в 2021 году, 1 </w:t>
      </w:r>
      <w:proofErr w:type="spellStart"/>
      <w:r w:rsidRPr="00BB59BA">
        <w:rPr>
          <w:rFonts w:ascii="sans-serif" w:hAnsi="sans-serif"/>
          <w:szCs w:val="24"/>
        </w:rPr>
        <w:t>млн</w:t>
      </w:r>
      <w:proofErr w:type="spellEnd"/>
      <w:r w:rsidRPr="00BB59BA">
        <w:rPr>
          <w:rFonts w:ascii="sans-serif" w:hAnsi="sans-serif"/>
          <w:szCs w:val="24"/>
        </w:rPr>
        <w:t xml:space="preserve"> 363,0 тыс. человек - в 2022 году), с учетом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 xml:space="preserve">среднего показателя за </w:t>
      </w:r>
      <w:proofErr w:type="gramStart"/>
      <w:r w:rsidRPr="00BB59BA">
        <w:rPr>
          <w:rFonts w:ascii="sans-serif" w:hAnsi="sans-serif"/>
          <w:szCs w:val="24"/>
        </w:rPr>
        <w:t>последние</w:t>
      </w:r>
      <w:proofErr w:type="gramEnd"/>
      <w:r w:rsidRPr="00BB59BA">
        <w:rPr>
          <w:rFonts w:ascii="sans-serif" w:hAnsi="sans-serif"/>
          <w:szCs w:val="24"/>
        </w:rPr>
        <w:t xml:space="preserve"> 5 лет по данным ФСС о доле родившихся первых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>(40,2% от всех родившихся), вторых (38,8% от всех родившихся) и пос</w:t>
      </w:r>
      <w:r w:rsidRPr="00BB59BA">
        <w:rPr>
          <w:rFonts w:ascii="sans-serif" w:hAnsi="sans-serif"/>
          <w:szCs w:val="24"/>
        </w:rPr>
        <w:t>ледующих детей</w:t>
      </w:r>
    </w:p>
    <w:p w:rsidR="00C44D48" w:rsidRPr="00BB59BA" w:rsidRDefault="00BB59BA" w:rsidP="00BB59BA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BB59BA">
        <w:rPr>
          <w:rFonts w:ascii="sans-serif" w:hAnsi="sans-serif"/>
          <w:szCs w:val="24"/>
        </w:rPr>
        <w:t>в семье", - говорится в пояснительной записке.</w:t>
      </w:r>
    </w:p>
    <w:p w:rsidR="00C44D48" w:rsidRPr="00BB59BA" w:rsidRDefault="00C44D48" w:rsidP="00BB59BA">
      <w:pPr>
        <w:spacing w:line="240" w:lineRule="auto"/>
        <w:rPr>
          <w:szCs w:val="24"/>
        </w:rPr>
      </w:pPr>
    </w:p>
    <w:sectPr w:rsidR="00C44D48" w:rsidRPr="00BB59BA" w:rsidSect="00C44D48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C44D48"/>
    <w:rsid w:val="00BB59BA"/>
    <w:rsid w:val="00C44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4D48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C44D48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C44D48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44D48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C44D48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44D48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4D48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C44D48"/>
    <w:pPr>
      <w:ind w:left="200"/>
    </w:pPr>
  </w:style>
  <w:style w:type="character" w:customStyle="1" w:styleId="22">
    <w:name w:val="Оглавление 2 Знак"/>
    <w:link w:val="21"/>
    <w:rsid w:val="00C44D48"/>
  </w:style>
  <w:style w:type="paragraph" w:styleId="41">
    <w:name w:val="toc 4"/>
    <w:next w:val="a"/>
    <w:link w:val="42"/>
    <w:uiPriority w:val="39"/>
    <w:rsid w:val="00C44D48"/>
    <w:pPr>
      <w:ind w:left="600"/>
    </w:pPr>
  </w:style>
  <w:style w:type="character" w:customStyle="1" w:styleId="42">
    <w:name w:val="Оглавление 4 Знак"/>
    <w:link w:val="41"/>
    <w:rsid w:val="00C44D48"/>
  </w:style>
  <w:style w:type="paragraph" w:styleId="6">
    <w:name w:val="toc 6"/>
    <w:next w:val="a"/>
    <w:link w:val="60"/>
    <w:uiPriority w:val="39"/>
    <w:rsid w:val="00C44D48"/>
    <w:pPr>
      <w:ind w:left="1000"/>
    </w:pPr>
  </w:style>
  <w:style w:type="character" w:customStyle="1" w:styleId="60">
    <w:name w:val="Оглавление 6 Знак"/>
    <w:link w:val="6"/>
    <w:rsid w:val="00C44D48"/>
  </w:style>
  <w:style w:type="paragraph" w:styleId="7">
    <w:name w:val="toc 7"/>
    <w:next w:val="a"/>
    <w:link w:val="70"/>
    <w:uiPriority w:val="39"/>
    <w:rsid w:val="00C44D48"/>
    <w:pPr>
      <w:ind w:left="1200"/>
    </w:pPr>
  </w:style>
  <w:style w:type="character" w:customStyle="1" w:styleId="70">
    <w:name w:val="Оглавление 7 Знак"/>
    <w:link w:val="7"/>
    <w:rsid w:val="00C44D48"/>
  </w:style>
  <w:style w:type="character" w:customStyle="1" w:styleId="30">
    <w:name w:val="Заголовок 3 Знак"/>
    <w:link w:val="3"/>
    <w:rsid w:val="00C44D4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44D48"/>
    <w:pPr>
      <w:ind w:left="400"/>
    </w:pPr>
  </w:style>
  <w:style w:type="character" w:customStyle="1" w:styleId="32">
    <w:name w:val="Оглавление 3 Знак"/>
    <w:link w:val="31"/>
    <w:rsid w:val="00C44D48"/>
  </w:style>
  <w:style w:type="character" w:customStyle="1" w:styleId="50">
    <w:name w:val="Заголовок 5 Знак"/>
    <w:link w:val="5"/>
    <w:rsid w:val="00C44D4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44D4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44D48"/>
    <w:rPr>
      <w:color w:val="0000FF"/>
      <w:u w:val="single"/>
    </w:rPr>
  </w:style>
  <w:style w:type="character" w:styleId="a3">
    <w:name w:val="Hyperlink"/>
    <w:link w:val="12"/>
    <w:rsid w:val="00C44D48"/>
    <w:rPr>
      <w:color w:val="0000FF"/>
      <w:u w:val="single"/>
    </w:rPr>
  </w:style>
  <w:style w:type="paragraph" w:customStyle="1" w:styleId="Footnote">
    <w:name w:val="Footnote"/>
    <w:link w:val="Footnote0"/>
    <w:rsid w:val="00C44D48"/>
    <w:rPr>
      <w:sz w:val="22"/>
    </w:rPr>
  </w:style>
  <w:style w:type="character" w:customStyle="1" w:styleId="Footnote0">
    <w:name w:val="Footnote"/>
    <w:link w:val="Footnote"/>
    <w:rsid w:val="00C44D4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44D48"/>
    <w:rPr>
      <w:b/>
    </w:rPr>
  </w:style>
  <w:style w:type="character" w:customStyle="1" w:styleId="14">
    <w:name w:val="Оглавление 1 Знак"/>
    <w:link w:val="13"/>
    <w:rsid w:val="00C44D4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44D48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C44D4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44D48"/>
    <w:pPr>
      <w:ind w:left="1600"/>
    </w:pPr>
  </w:style>
  <w:style w:type="character" w:customStyle="1" w:styleId="90">
    <w:name w:val="Оглавление 9 Знак"/>
    <w:link w:val="9"/>
    <w:rsid w:val="00C44D48"/>
  </w:style>
  <w:style w:type="paragraph" w:styleId="8">
    <w:name w:val="toc 8"/>
    <w:next w:val="a"/>
    <w:link w:val="80"/>
    <w:uiPriority w:val="39"/>
    <w:rsid w:val="00C44D48"/>
    <w:pPr>
      <w:ind w:left="1400"/>
    </w:pPr>
  </w:style>
  <w:style w:type="character" w:customStyle="1" w:styleId="80">
    <w:name w:val="Оглавление 8 Знак"/>
    <w:link w:val="8"/>
    <w:rsid w:val="00C44D48"/>
  </w:style>
  <w:style w:type="paragraph" w:styleId="51">
    <w:name w:val="toc 5"/>
    <w:next w:val="a"/>
    <w:link w:val="52"/>
    <w:uiPriority w:val="39"/>
    <w:rsid w:val="00C44D48"/>
    <w:pPr>
      <w:ind w:left="800"/>
    </w:pPr>
  </w:style>
  <w:style w:type="character" w:customStyle="1" w:styleId="52">
    <w:name w:val="Оглавление 5 Знак"/>
    <w:link w:val="51"/>
    <w:rsid w:val="00C44D48"/>
  </w:style>
  <w:style w:type="paragraph" w:styleId="a4">
    <w:name w:val="Subtitle"/>
    <w:next w:val="a"/>
    <w:link w:val="a5"/>
    <w:uiPriority w:val="11"/>
    <w:qFormat/>
    <w:rsid w:val="00C44D48"/>
    <w:rPr>
      <w:i/>
      <w:color w:val="616161"/>
    </w:rPr>
  </w:style>
  <w:style w:type="character" w:customStyle="1" w:styleId="a5">
    <w:name w:val="Подзаголовок Знак"/>
    <w:link w:val="a4"/>
    <w:rsid w:val="00C44D4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44D48"/>
    <w:pPr>
      <w:ind w:left="1800"/>
    </w:pPr>
  </w:style>
  <w:style w:type="character" w:customStyle="1" w:styleId="toc100">
    <w:name w:val="toc 10"/>
    <w:link w:val="toc10"/>
    <w:rsid w:val="00C44D48"/>
  </w:style>
  <w:style w:type="paragraph" w:styleId="a6">
    <w:name w:val="Title"/>
    <w:next w:val="a"/>
    <w:link w:val="a7"/>
    <w:uiPriority w:val="10"/>
    <w:qFormat/>
    <w:rsid w:val="00C44D48"/>
    <w:rPr>
      <w:b/>
      <w:sz w:val="52"/>
    </w:rPr>
  </w:style>
  <w:style w:type="character" w:customStyle="1" w:styleId="a7">
    <w:name w:val="Название Знак"/>
    <w:link w:val="a6"/>
    <w:rsid w:val="00C44D4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44D4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44D4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2020-03-16T06:50:00Z</dcterms:created>
  <dcterms:modified xsi:type="dcterms:W3CDTF">2020-03-16T06:52:00Z</dcterms:modified>
</cp:coreProperties>
</file>