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ТАСС, 10.02.2020, 10:13, Все выплаты ветеранам к 75-</w:t>
      </w:r>
    </w:p>
    <w:p w14:paraId="02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летию Победы будут проведены автоматически - Голикова</w:t>
      </w:r>
    </w:p>
    <w:p w14:paraId="03000000">
      <w:pPr>
        <w:pStyle w:val="Style_1"/>
        <w:rPr>
          <w:rFonts w:ascii="sans-serif" w:hAnsi="sans-serif"/>
          <w:sz w:val="24"/>
        </w:rPr>
      </w:pPr>
    </w:p>
    <w:p w14:paraId="04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Ветераны, имеющие право на единовременные</w:t>
      </w:r>
    </w:p>
    <w:p w14:paraId="05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выплаты к 75-летию Победы, получат их автоматически, без необходимости подавать</w:t>
      </w:r>
    </w:p>
    <w:p w14:paraId="06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какие-либо специальные заявления. Об этом заявила вице-премьер Татьяна Голикова на </w:t>
      </w:r>
      <w:r>
        <w:rPr>
          <w:rFonts w:ascii="sans-serif" w:hAnsi="sans-serif"/>
          <w:sz w:val="24"/>
        </w:rPr>
        <w:t>совещании, которое проводит премьер-министр Михаил Мишустин со своими</w:t>
      </w:r>
    </w:p>
    <w:p w14:paraId="07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заместителями.</w:t>
      </w:r>
    </w:p>
    <w:p w14:paraId="08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"Хочу сразу сказать, что нашим гражданам не нужно будет подавать никаких</w:t>
      </w:r>
    </w:p>
    <w:p w14:paraId="09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дополнительных заявлений, исходя из выплатных дел все это будет осуществлено</w:t>
      </w:r>
    </w:p>
    <w:p w14:paraId="0A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автоматически, без их участия, в апреле - мае 2020 года. Чтобы это прошло в</w:t>
      </w:r>
    </w:p>
    <w:p w14:paraId="0B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установленные сроки, дано поручение, чтобы к 18 февраля Минтруд представил все</w:t>
      </w:r>
    </w:p>
    <w:p w14:paraId="0C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необходимые документы, чтобы их своевременно выпустить", - сказала Голикова.</w:t>
      </w:r>
    </w:p>
    <w:p w14:paraId="0D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Вице-премьер добавила, что соответствующие выплаты предполагается предоставить 1 </w:t>
      </w:r>
      <w:r>
        <w:rPr>
          <w:rFonts w:ascii="sans-serif" w:hAnsi="sans-serif"/>
          <w:sz w:val="24"/>
        </w:rPr>
        <w:t>млн 500 тыс. человек. Так, выплату в 75 тыс. рублей получат участники и инвалиды</w:t>
      </w:r>
    </w:p>
    <w:p w14:paraId="0E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Великой Отечественной войны, ветераны, пережившие блокаду Ленинграда, бывшие</w:t>
      </w:r>
    </w:p>
    <w:p w14:paraId="0F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несовершеннолетними узники фашистских концлагерей, вдовы и вдовцы</w:t>
      </w:r>
    </w:p>
    <w:p w14:paraId="10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военнослужащих, погибший в период войны с Финляндией, Великой Отечественной</w:t>
      </w:r>
    </w:p>
    <w:p w14:paraId="11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войны, войны с Японией, а также вдовы и вдовцы умерших участников и инвалидов</w:t>
      </w:r>
    </w:p>
    <w:p w14:paraId="12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Великой Отечественной войны. По словам Голиковой, под эти категории граждан</w:t>
      </w:r>
    </w:p>
    <w:p w14:paraId="13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попадают 537,1 тыс. человек.</w:t>
      </w:r>
    </w:p>
    <w:p w14:paraId="14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Выплаты в размере 50 тыс. рублей получат ветераны из числа тружеников тыла и</w:t>
      </w:r>
    </w:p>
    <w:p w14:paraId="15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бывшие совершеннолетними узники фашизма - всего порядка 601,4 тыс. человек.</w:t>
      </w:r>
    </w:p>
    <w:p w14:paraId="16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"Кроме того, единовременная выплата будет осуществлена гражданам РФ, постоянно</w:t>
      </w:r>
    </w:p>
    <w:p w14:paraId="17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проживающим на территории Эстонии, Латвии и Литвы. Выплаты будут</w:t>
      </w:r>
    </w:p>
    <w:p w14:paraId="18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осуществляться теми органами, которые на сегодняшней день осуществляют и</w:t>
      </w:r>
    </w:p>
    <w:p w14:paraId="19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выплачивают </w:t>
      </w:r>
      <w:r>
        <w:rPr>
          <w:rFonts w:ascii="sans-serif" w:hAnsi="sans-serif"/>
          <w:sz w:val="24"/>
        </w:rPr>
        <w:t xml:space="preserve">пенсии </w:t>
      </w:r>
      <w:r>
        <w:rPr>
          <w:rFonts w:ascii="sans-serif" w:hAnsi="sans-serif"/>
          <w:sz w:val="24"/>
        </w:rPr>
        <w:t xml:space="preserve">соответствующим категориям граждан - это  </w:t>
      </w:r>
      <w:r>
        <w:rPr>
          <w:rFonts w:ascii="sans-serif" w:hAnsi="sans-serif"/>
          <w:sz w:val="24"/>
        </w:rPr>
        <w:t>Пенсионный фонд</w:t>
      </w:r>
    </w:p>
    <w:p w14:paraId="1A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и </w:t>
      </w:r>
      <w:r>
        <w:rPr>
          <w:rFonts w:ascii="sans-serif" w:hAnsi="sans-serif"/>
          <w:sz w:val="24"/>
        </w:rPr>
        <w:t xml:space="preserve">органы, осуществляющие выплаты военных  </w:t>
      </w:r>
      <w:r>
        <w:rPr>
          <w:rFonts w:ascii="sans-serif" w:hAnsi="sans-serif"/>
          <w:sz w:val="24"/>
        </w:rPr>
        <w:t>пенсий</w:t>
      </w:r>
    </w:p>
    <w:p w14:paraId="1B000000">
      <w:pPr>
        <w:pStyle w:val="Style_1"/>
        <w:rPr>
          <w:rFonts w:ascii="sans-serif" w:hAnsi="sans-serif"/>
          <w:sz w:val="24"/>
        </w:rPr>
      </w:pPr>
    </w:p>
    <w:p w14:paraId="1C000000">
      <w:pPr>
        <w:pStyle w:val="Style_1"/>
        <w:rPr>
          <w:sz w:val="24"/>
        </w:rPr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List"/>
    <w:basedOn w:val="Style_5"/>
    <w:link w:val="Style_4_ch"/>
  </w:style>
  <w:style w:styleId="Style_4_ch" w:type="character">
    <w:name w:val="List"/>
    <w:basedOn w:val="Style_5_ch"/>
    <w:link w:val="Style_4"/>
  </w:style>
  <w:style w:styleId="Style_6" w:type="paragraph">
    <w:name w:val="toc 6"/>
    <w:next w:val="Style_1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Index"/>
    <w:basedOn w:val="Style_1"/>
    <w:link w:val="Style_9_ch"/>
  </w:style>
  <w:style w:styleId="Style_9_ch" w:type="character">
    <w:name w:val="Index"/>
    <w:basedOn w:val="Style_1_ch"/>
    <w:link w:val="Style_9"/>
  </w:style>
  <w:style w:styleId="Style_5" w:type="paragraph">
    <w:name w:val="Text body"/>
    <w:basedOn w:val="Style_1"/>
    <w:link w:val="Style_5_ch"/>
    <w:pPr>
      <w:spacing w:after="140" w:before="0" w:line="288" w:lineRule="auto"/>
      <w:ind/>
    </w:pPr>
  </w:style>
  <w:style w:styleId="Style_5_ch" w:type="character">
    <w:name w:val="Text body"/>
    <w:basedOn w:val="Style_1_ch"/>
    <w:link w:val="Style_5"/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1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Subtitle"/>
    <w:next w:val="Style_1"/>
    <w:link w:val="Style_20_ch"/>
    <w:uiPriority w:val="11"/>
    <w:qFormat/>
    <w:rPr>
      <w:rFonts w:ascii="XO Thames" w:hAnsi="XO Thames"/>
      <w:i w:val="1"/>
      <w:color w:val="616161"/>
      <w:sz w:val="24"/>
    </w:rPr>
  </w:style>
  <w:style w:styleId="Style_20_ch" w:type="character">
    <w:name w:val="Subtitle"/>
    <w:link w:val="Style_20"/>
    <w:rPr>
      <w:rFonts w:ascii="XO Thames" w:hAnsi="XO Thames"/>
      <w:i w:val="1"/>
      <w:color w:val="616161"/>
      <w:sz w:val="24"/>
    </w:rPr>
  </w:style>
  <w:style w:styleId="Style_21" w:type="paragraph">
    <w:name w:val="Caption"/>
    <w:basedOn w:val="Style_1"/>
    <w:link w:val="Style_21_ch"/>
    <w:pPr>
      <w:spacing w:after="120" w:before="120"/>
      <w:ind/>
    </w:pPr>
    <w:rPr>
      <w:i w:val="1"/>
      <w:sz w:val="24"/>
    </w:rPr>
  </w:style>
  <w:style w:styleId="Style_21_ch" w:type="character">
    <w:name w:val="Caption"/>
    <w:basedOn w:val="Style_1_ch"/>
    <w:link w:val="Style_21"/>
    <w:rPr>
      <w:i w:val="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"/>
    <w:basedOn w:val="Style_1"/>
    <w:next w:val="Style_5"/>
    <w:link w:val="Style_25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5_ch" w:type="character">
    <w:name w:val="Heading"/>
    <w:basedOn w:val="Style_1_ch"/>
    <w:link w:val="Style_25"/>
    <w:rPr>
      <w:rFonts w:ascii="Liberation Sans" w:hAnsi="Liberation Sans"/>
      <w:sz w:val="28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