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5664" w:hanging="0"/>
        <w:jc w:val="center"/>
        <w:rPr>
          <w:rFonts w:ascii="Times New Roman" w:hAnsi="Times New Roman"/>
          <w:sz w:val="24"/>
          <w:szCs w:val="24"/>
        </w:rPr>
      </w:pPr>
      <w:r>
        <w:rPr>
          <w:rFonts w:ascii="Times New Roman" w:hAnsi="Times New Roman"/>
          <w:sz w:val="26"/>
          <w:szCs w:val="26"/>
        </w:rPr>
        <w:t>УТВЕРЖДЕНА</w:t>
      </w:r>
    </w:p>
    <w:p>
      <w:pPr>
        <w:pStyle w:val="Normal"/>
        <w:spacing w:lineRule="auto" w:line="240" w:before="0" w:after="0"/>
        <w:ind w:left="5664" w:hanging="0"/>
        <w:jc w:val="center"/>
        <w:rPr>
          <w:rFonts w:ascii="Times New Roman" w:hAnsi="Times New Roman"/>
          <w:sz w:val="24"/>
          <w:szCs w:val="24"/>
        </w:rPr>
      </w:pPr>
      <w:r>
        <w:rPr>
          <w:rFonts w:ascii="Times New Roman" w:hAnsi="Times New Roman"/>
          <w:sz w:val="26"/>
          <w:szCs w:val="26"/>
        </w:rPr>
        <w:t xml:space="preserve">Приказом </w:t>
      </w:r>
    </w:p>
    <w:p>
      <w:pPr>
        <w:pStyle w:val="Normal"/>
        <w:spacing w:lineRule="auto" w:line="240" w:before="0" w:after="0"/>
        <w:ind w:left="5664" w:hanging="0"/>
        <w:jc w:val="center"/>
        <w:rPr>
          <w:rFonts w:ascii="Times New Roman" w:hAnsi="Times New Roman"/>
          <w:sz w:val="24"/>
          <w:szCs w:val="24"/>
        </w:rPr>
      </w:pPr>
      <w:r>
        <w:rPr>
          <w:rFonts w:ascii="Times New Roman" w:hAnsi="Times New Roman"/>
          <w:sz w:val="26"/>
          <w:szCs w:val="26"/>
        </w:rPr>
        <w:t>Министерства экономики, торговли</w:t>
      </w:r>
    </w:p>
    <w:p>
      <w:pPr>
        <w:pStyle w:val="Normal"/>
        <w:spacing w:lineRule="auto" w:line="240" w:before="0" w:after="0"/>
        <w:ind w:left="5664" w:hanging="0"/>
        <w:jc w:val="center"/>
        <w:rPr>
          <w:sz w:val="26"/>
          <w:szCs w:val="26"/>
        </w:rPr>
      </w:pPr>
      <w:r>
        <w:rPr>
          <w:rFonts w:ascii="Times New Roman" w:hAnsi="Times New Roman"/>
          <w:sz w:val="26"/>
          <w:szCs w:val="26"/>
        </w:rPr>
        <w:t xml:space="preserve">и предпринимательства </w:t>
      </w:r>
    </w:p>
    <w:p>
      <w:pPr>
        <w:pStyle w:val="Normal"/>
        <w:spacing w:lineRule="auto" w:line="240" w:before="0" w:after="0"/>
        <w:ind w:left="5664" w:hanging="0"/>
        <w:jc w:val="center"/>
        <w:rPr>
          <w:rFonts w:ascii="Times New Roman" w:hAnsi="Times New Roman"/>
          <w:sz w:val="24"/>
          <w:szCs w:val="24"/>
        </w:rPr>
      </w:pPr>
      <w:r>
        <w:rPr>
          <w:rFonts w:ascii="Times New Roman" w:hAnsi="Times New Roman"/>
          <w:sz w:val="26"/>
          <w:szCs w:val="26"/>
        </w:rPr>
        <w:t>Республики Мордовия</w:t>
      </w:r>
    </w:p>
    <w:p>
      <w:pPr>
        <w:pStyle w:val="Normal"/>
        <w:spacing w:lineRule="auto" w:line="240" w:before="0" w:after="0"/>
        <w:ind w:left="5664" w:hanging="0"/>
        <w:jc w:val="center"/>
        <w:rPr>
          <w:rFonts w:ascii="Times New Roman" w:hAnsi="Times New Roman"/>
          <w:sz w:val="26"/>
          <w:szCs w:val="26"/>
        </w:rPr>
      </w:pPr>
      <w:r>
        <w:rPr>
          <w:rFonts w:ascii="Times New Roman" w:hAnsi="Times New Roman"/>
          <w:sz w:val="26"/>
          <w:szCs w:val="26"/>
        </w:rPr>
      </w:r>
    </w:p>
    <w:p>
      <w:pPr>
        <w:pStyle w:val="Normal"/>
        <w:spacing w:lineRule="auto" w:line="240" w:before="0" w:after="0"/>
        <w:ind w:left="4248" w:firstLine="708"/>
        <w:jc w:val="center"/>
        <w:rPr/>
      </w:pPr>
      <w:r>
        <w:rPr>
          <w:rFonts w:ascii="Times New Roman" w:hAnsi="Times New Roman"/>
          <w:sz w:val="26"/>
          <w:szCs w:val="26"/>
        </w:rPr>
        <w:t xml:space="preserve">             </w:t>
      </w:r>
      <w:r>
        <w:rPr>
          <w:rFonts w:ascii="Times New Roman" w:hAnsi="Times New Roman"/>
          <w:sz w:val="26"/>
          <w:szCs w:val="26"/>
        </w:rPr>
        <w:t>от «23» августа 2019 г.  №267-П</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 xml:space="preserve">ПРОГРАММА ОБУЧЕНИЯ </w:t>
      </w:r>
    </w:p>
    <w:p>
      <w:pPr>
        <w:pStyle w:val="Normal"/>
        <w:spacing w:lineRule="auto" w:line="240" w:before="0" w:after="0"/>
        <w:jc w:val="center"/>
        <w:rPr>
          <w:rFonts w:ascii="Times New Roman" w:hAnsi="Times New Roman"/>
        </w:rPr>
      </w:pPr>
      <w:r>
        <w:rPr>
          <w:rFonts w:cs="Times New Roman" w:ascii="Times New Roman" w:hAnsi="Times New Roman"/>
          <w:b/>
          <w:sz w:val="28"/>
          <w:szCs w:val="28"/>
        </w:rPr>
        <w:t xml:space="preserve">ПО КУРСУ </w:t>
      </w:r>
      <w:r>
        <w:rPr>
          <w:rFonts w:ascii="Times New Roman" w:hAnsi="Times New Roman"/>
          <w:b/>
          <w:sz w:val="28"/>
          <w:szCs w:val="28"/>
        </w:rPr>
        <w:t>«СОДЕЙСТВИЕ РАЗВИТИЮ КОНКУРЕНЦИИ</w:t>
      </w:r>
      <w:r>
        <w:rPr>
          <w:rFonts w:cs="Times New Roman" w:ascii="Times New Roman" w:hAnsi="Times New Roman"/>
          <w:b/>
          <w:sz w:val="28"/>
          <w:szCs w:val="28"/>
        </w:rPr>
        <w:t xml:space="preserve"> </w:t>
      </w:r>
      <w:r>
        <w:rPr>
          <w:rFonts w:ascii="Times New Roman" w:hAnsi="Times New Roman"/>
          <w:b/>
          <w:sz w:val="28"/>
          <w:szCs w:val="28"/>
        </w:rPr>
        <w:t>В РЕСПУБЛИКЕ МОРДОВИЯ» в 2019 г.</w:t>
      </w:r>
    </w:p>
    <w:p>
      <w:pPr>
        <w:pStyle w:val="Normal"/>
        <w:spacing w:lineRule="auto" w:line="240" w:before="0" w:after="0"/>
        <w:jc w:val="center"/>
        <w:rPr>
          <w:rFonts w:ascii="Times New Roman" w:hAnsi="Times New Roman"/>
          <w:sz w:val="24"/>
          <w:szCs w:val="24"/>
        </w:rPr>
      </w:pPr>
      <w:r>
        <w:rPr>
          <w:rFonts w:ascii="Times New Roman" w:hAnsi="Times New Roman"/>
          <w:sz w:val="24"/>
          <w:szCs w:val="24"/>
        </w:rPr>
        <w:t>(разработана для проведения обучающих тренингов, в том числе с применением дистанционных технологий, органов местного самоуправления, специалистов органов исполнительной власти и иных организаций в Республике Мордовия)</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sectPr>
          <w:headerReference w:type="default" r:id="rId2"/>
          <w:footerReference w:type="default" r:id="rId3"/>
          <w:type w:val="nextPage"/>
          <w:pgSz w:w="11906" w:h="16838"/>
          <w:pgMar w:left="1140" w:right="856" w:header="708" w:top="993" w:footer="708" w:bottom="1134" w:gutter="0"/>
          <w:pgNumType w:fmt="decimal"/>
          <w:formProt w:val="false"/>
          <w:textDirection w:val="lrTb"/>
          <w:docGrid w:type="default" w:linePitch="360" w:charSpace="4096"/>
        </w:sectPr>
        <w:pStyle w:val="Normal"/>
        <w:spacing w:lineRule="auto" w:line="240" w:before="0" w:after="0"/>
        <w:jc w:val="center"/>
        <w:rPr>
          <w:rFonts w:ascii="Times New Roman" w:hAnsi="Times New Roman"/>
        </w:rPr>
      </w:pPr>
      <w:r>
        <w:rPr>
          <w:rFonts w:cs="Times New Roman" w:ascii="Times New Roman" w:hAnsi="Times New Roman"/>
          <w:b/>
          <w:sz w:val="28"/>
          <w:szCs w:val="28"/>
        </w:rPr>
        <w:t>Саранск 2019 г.</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СОДЕРЖАНИЕ</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bl>
      <w:tblPr>
        <w:tblStyle w:val="af4"/>
        <w:tblW w:w="9602" w:type="dxa"/>
        <w:jc w:val="left"/>
        <w:tblInd w:w="-113" w:type="dxa"/>
        <w:tblCellMar>
          <w:top w:w="0" w:type="dxa"/>
          <w:left w:w="153" w:type="dxa"/>
          <w:bottom w:w="0" w:type="dxa"/>
          <w:right w:w="108" w:type="dxa"/>
        </w:tblCellMar>
        <w:tblLook w:firstRow="1" w:noVBand="1" w:lastRow="0" w:firstColumn="1" w:lastColumn="0" w:noHBand="0" w:val="04a0"/>
      </w:tblPr>
      <w:tblGrid>
        <w:gridCol w:w="1664"/>
        <w:gridCol w:w="7091"/>
        <w:gridCol w:w="847"/>
      </w:tblGrid>
      <w:tr>
        <w:trPr/>
        <w:tc>
          <w:tcPr>
            <w:tcW w:w="1664" w:type="dxa"/>
            <w:tcBorders>
              <w:top w:val="nil"/>
              <w:left w:val="nil"/>
              <w:bottom w:val="nil"/>
              <w:right w:val="nil"/>
              <w:insideH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ВВЕДЕНИЕ</w:t>
            </w:r>
          </w:p>
        </w:tc>
        <w:tc>
          <w:tcPr>
            <w:tcW w:w="7091"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r>
          </w:p>
        </w:tc>
        <w:tc>
          <w:tcPr>
            <w:tcW w:w="847"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t>3</w:t>
            </w:r>
          </w:p>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r>
          </w:p>
        </w:tc>
      </w:tr>
      <w:tr>
        <w:trPr/>
        <w:tc>
          <w:tcPr>
            <w:tcW w:w="1664"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both"/>
              <w:rPr>
                <w:rFonts w:ascii="Times New Roman" w:hAnsi="Times New Roman"/>
                <w:b/>
                <w:b/>
                <w:sz w:val="24"/>
                <w:szCs w:val="24"/>
              </w:rPr>
            </w:pPr>
            <w:r>
              <w:rPr>
                <w:rFonts w:ascii="Times New Roman" w:hAnsi="Times New Roman"/>
                <w:b/>
                <w:sz w:val="24"/>
                <w:szCs w:val="24"/>
              </w:rPr>
              <w:t>Тема №1.</w:t>
            </w:r>
          </w:p>
        </w:tc>
        <w:tc>
          <w:tcPr>
            <w:tcW w:w="7091" w:type="dxa"/>
            <w:tcBorders>
              <w:top w:val="nil"/>
              <w:left w:val="nil"/>
              <w:bottom w:val="nil"/>
              <w:right w:val="nil"/>
              <w:insideH w:val="nil"/>
              <w:insideV w:val="nil"/>
            </w:tcBorders>
            <w:shd w:fill="auto" w:val="clear"/>
          </w:tcPr>
          <w:p>
            <w:pPr>
              <w:pStyle w:val="Normal"/>
              <w:spacing w:lineRule="auto" w:line="240" w:before="0" w:after="0"/>
              <w:rPr>
                <w:rFonts w:ascii="Times New Roman" w:hAnsi="Times New Roman"/>
                <w:sz w:val="24"/>
                <w:szCs w:val="24"/>
              </w:rPr>
            </w:pPr>
            <w:r>
              <w:rPr>
                <w:rFonts w:ascii="Times New Roman" w:hAnsi="Times New Roman"/>
                <w:sz w:val="24"/>
                <w:szCs w:val="24"/>
              </w:rPr>
              <w:t>Оценка состояния  конкурентной среды в Республике Мордовия по итогам 2018 года</w:t>
            </w:r>
          </w:p>
          <w:p>
            <w:pPr>
              <w:pStyle w:val="Normal"/>
              <w:spacing w:lineRule="auto" w:line="240" w:before="0" w:after="0"/>
              <w:rPr>
                <w:sz w:val="24"/>
                <w:szCs w:val="24"/>
              </w:rPr>
            </w:pPr>
            <w:r>
              <w:rPr>
                <w:sz w:val="24"/>
                <w:szCs w:val="24"/>
              </w:rPr>
            </w:r>
          </w:p>
        </w:tc>
        <w:tc>
          <w:tcPr>
            <w:tcW w:w="847"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t>4-11</w:t>
            </w:r>
          </w:p>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r>
          </w:p>
        </w:tc>
      </w:tr>
      <w:tr>
        <w:trPr/>
        <w:tc>
          <w:tcPr>
            <w:tcW w:w="1664"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t>Тема №2.</w:t>
            </w:r>
          </w:p>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spacing w:lineRule="auto" w:line="240" w:before="0" w:after="0"/>
              <w:ind w:left="0" w:hanging="0"/>
              <w:contextualSpacing/>
              <w:jc w:val="both"/>
              <w:rPr>
                <w:rFonts w:ascii="Times New Roman" w:hAnsi="Times New Roman"/>
                <w:b/>
                <w:b/>
                <w:sz w:val="24"/>
                <w:szCs w:val="24"/>
              </w:rPr>
            </w:pPr>
            <w:r>
              <w:rPr>
                <w:rFonts w:cs="Times New Roman" w:ascii="Times New Roman" w:hAnsi="Times New Roman"/>
                <w:b/>
                <w:sz w:val="24"/>
                <w:szCs w:val="24"/>
              </w:rPr>
              <w:t>Тема №3</w:t>
            </w:r>
          </w:p>
        </w:tc>
        <w:tc>
          <w:tcPr>
            <w:tcW w:w="7091"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«Дорожная карта» как инструмент реализации комплекса стратегических мер по развитию конкуренции в субъектах Российской Федерации</w:t>
            </w:r>
          </w:p>
          <w:p>
            <w:pPr>
              <w:pStyle w:val="ListParagraph"/>
              <w:spacing w:lineRule="auto" w:line="240" w:before="0" w:after="0"/>
              <w:ind w:left="0" w:hanging="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Style22"/>
              <w:widowControl w:val="false"/>
              <w:tabs>
                <w:tab w:val="left" w:pos="1030" w:leader="none"/>
              </w:tabs>
              <w:spacing w:lineRule="auto" w:line="240"/>
              <w:ind w:right="260" w:hanging="0"/>
              <w:jc w:val="left"/>
              <w:rPr>
                <w:rFonts w:eastAsia="Times New Roman"/>
                <w:szCs w:val="24"/>
                <w:lang w:val="ru-RU"/>
              </w:rPr>
            </w:pPr>
            <w:r>
              <w:rPr>
                <w:rFonts w:eastAsia="Times New Roman"/>
                <w:color w:val="000000"/>
                <w:szCs w:val="24"/>
                <w:lang w:val="ru-RU"/>
              </w:rPr>
              <w:t>Ключевые показатели эффективности функционирования антимонопольного комплаенса</w:t>
            </w:r>
          </w:p>
          <w:p>
            <w:pPr>
              <w:pStyle w:val="Style22"/>
              <w:widowControl w:val="false"/>
              <w:tabs>
                <w:tab w:val="left" w:pos="1030" w:leader="none"/>
              </w:tabs>
              <w:spacing w:lineRule="auto" w:line="240"/>
              <w:ind w:right="260" w:hanging="0"/>
              <w:jc w:val="left"/>
              <w:rPr>
                <w:szCs w:val="24"/>
                <w:lang w:val="ru-RU"/>
              </w:rPr>
            </w:pPr>
            <w:r>
              <w:rPr>
                <w:szCs w:val="24"/>
                <w:lang w:val="ru-RU"/>
              </w:rPr>
            </w:r>
          </w:p>
        </w:tc>
        <w:tc>
          <w:tcPr>
            <w:tcW w:w="847"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center"/>
              <w:rPr/>
            </w:pPr>
            <w:r>
              <w:rPr>
                <w:rFonts w:ascii="Times New Roman" w:hAnsi="Times New Roman"/>
                <w:sz w:val="24"/>
                <w:szCs w:val="24"/>
              </w:rPr>
              <w:t>12-14</w:t>
            </w:r>
          </w:p>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0" w:hanging="0"/>
              <w:contextualSpacing/>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0" w:hanging="0"/>
              <w:contextualSpacing/>
              <w:rPr/>
            </w:pPr>
            <w:r>
              <w:rPr>
                <w:rFonts w:ascii="Times New Roman" w:hAnsi="Times New Roman"/>
                <w:sz w:val="24"/>
                <w:szCs w:val="24"/>
              </w:rPr>
              <w:t>14-16</w:t>
            </w:r>
          </w:p>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r>
          </w:p>
        </w:tc>
      </w:tr>
      <w:tr>
        <w:trPr/>
        <w:tc>
          <w:tcPr>
            <w:tcW w:w="1664"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rPr>
                <w:sz w:val="24"/>
                <w:szCs w:val="24"/>
              </w:rPr>
            </w:pPr>
            <w:bookmarkStart w:id="0" w:name="_GoBack"/>
            <w:bookmarkEnd w:id="0"/>
            <w:r>
              <w:rPr>
                <w:rFonts w:cs="Times New Roman" w:ascii="Times New Roman" w:hAnsi="Times New Roman"/>
                <w:b/>
                <w:sz w:val="24"/>
                <w:szCs w:val="24"/>
              </w:rPr>
              <w:t>Тема № 4</w:t>
            </w:r>
          </w:p>
        </w:tc>
        <w:tc>
          <w:tcPr>
            <w:tcW w:w="7091" w:type="dxa"/>
            <w:tcBorders>
              <w:top w:val="nil"/>
              <w:left w:val="nil"/>
              <w:bottom w:val="nil"/>
              <w:right w:val="nil"/>
              <w:insideH w:val="nil"/>
              <w:insideV w:val="nil"/>
            </w:tcBorders>
            <w:shd w:fill="auto" w:val="clear"/>
          </w:tcPr>
          <w:p>
            <w:pPr>
              <w:pStyle w:val="91"/>
              <w:shd w:val="clear" w:color="auto" w:fill="auto"/>
              <w:spacing w:before="0" w:after="0"/>
              <w:rPr>
                <w:b w:val="false"/>
                <w:b w:val="false"/>
                <w:bCs w:val="false"/>
                <w:sz w:val="24"/>
                <w:szCs w:val="24"/>
              </w:rPr>
            </w:pPr>
            <w:r>
              <w:rPr>
                <w:b w:val="false"/>
                <w:bCs w:val="false"/>
                <w:color w:val="000000"/>
                <w:sz w:val="24"/>
                <w:szCs w:val="24"/>
                <w:lang w:eastAsia="ru-RU"/>
              </w:rPr>
              <w:t>Рекомендации органам исполнительной власти субъектов Российской Федерации и органам местного самоуправления</w:t>
            </w:r>
            <w:r>
              <w:rPr>
                <w:b w:val="false"/>
                <w:bCs w:val="false"/>
                <w:color w:val="000000"/>
                <w:sz w:val="24"/>
                <w:szCs w:val="24"/>
                <w:shd w:fill="FFFFFF" w:val="clear"/>
                <w:lang w:eastAsia="ru-RU"/>
              </w:rPr>
              <w:t xml:space="preserve"> о применении комплекса мер, направленных на предотвращение и профилактику нарушений антимонопольного законодательства в сфере наружной рекламы</w:t>
            </w:r>
          </w:p>
          <w:p>
            <w:pPr>
              <w:pStyle w:val="91"/>
              <w:shd w:val="clear" w:color="auto" w:fill="auto"/>
              <w:spacing w:lineRule="exact" w:line="250" w:before="0" w:after="0"/>
              <w:rPr>
                <w:b w:val="false"/>
                <w:b w:val="false"/>
                <w:bCs w:val="false"/>
                <w:sz w:val="24"/>
                <w:szCs w:val="24"/>
              </w:rPr>
            </w:pPr>
            <w:r>
              <w:rPr>
                <w:b w:val="false"/>
                <w:bCs w:val="false"/>
                <w:sz w:val="24"/>
                <w:szCs w:val="24"/>
              </w:rPr>
            </w:r>
          </w:p>
        </w:tc>
        <w:tc>
          <w:tcPr>
            <w:tcW w:w="847"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center"/>
              <w:rPr/>
            </w:pPr>
            <w:r>
              <w:rPr>
                <w:rFonts w:ascii="Times New Roman" w:hAnsi="Times New Roman"/>
                <w:sz w:val="24"/>
                <w:szCs w:val="24"/>
              </w:rPr>
              <w:t>16-32</w:t>
            </w:r>
          </w:p>
        </w:tc>
      </w:tr>
      <w:tr>
        <w:trPr/>
        <w:tc>
          <w:tcPr>
            <w:tcW w:w="1664"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t>Тема №5</w:t>
            </w:r>
          </w:p>
        </w:tc>
        <w:tc>
          <w:tcPr>
            <w:tcW w:w="7091" w:type="dxa"/>
            <w:tcBorders>
              <w:top w:val="nil"/>
              <w:left w:val="nil"/>
              <w:bottom w:val="nil"/>
              <w:right w:val="nil"/>
              <w:insideH w:val="nil"/>
              <w:insideV w:val="nil"/>
            </w:tcBorders>
            <w:shd w:fill="auto" w:val="clear"/>
          </w:tcPr>
          <w:p>
            <w:pPr>
              <w:pStyle w:val="Normal"/>
              <w:spacing w:lineRule="auto" w:line="240" w:before="0" w:after="0"/>
              <w:rPr/>
            </w:pPr>
            <w:r>
              <w:rPr>
                <w:rFonts w:ascii="Times New Roman" w:hAnsi="Times New Roman"/>
                <w:sz w:val="24"/>
                <w:szCs w:val="24"/>
              </w:rPr>
              <w:t xml:space="preserve">О подходах и проблемах при формировании рейтинга  </w:t>
            </w:r>
            <w:r>
              <w:rPr>
                <w:rFonts w:cs="Times New Roman" w:ascii="Times New Roman" w:hAnsi="Times New Roman"/>
                <w:sz w:val="24"/>
                <w:szCs w:val="24"/>
              </w:rPr>
              <w:t xml:space="preserve">муниципальных образований по развитию конкуренции в Республике Мордовия </w:t>
            </w:r>
          </w:p>
          <w:p>
            <w:pPr>
              <w:pStyle w:val="Normal"/>
              <w:spacing w:lineRule="auto" w:line="240" w:before="0" w:after="0"/>
              <w:rPr>
                <w:rFonts w:ascii="Times New Roman" w:hAnsi="Times New Roman" w:cs="Times New Roman"/>
                <w:sz w:val="24"/>
                <w:szCs w:val="24"/>
              </w:rPr>
            </w:pPr>
            <w:r>
              <w:rPr/>
            </w:r>
          </w:p>
          <w:p>
            <w:pPr>
              <w:pStyle w:val="Normal"/>
              <w:spacing w:lineRule="auto" w:line="240" w:before="0" w:after="0"/>
              <w:rPr>
                <w:rFonts w:ascii="Times New Roman" w:hAnsi="Times New Roman" w:cs="Times New Roman"/>
                <w:sz w:val="24"/>
                <w:szCs w:val="24"/>
              </w:rPr>
            </w:pPr>
            <w:r>
              <w:rPr/>
            </w:r>
          </w:p>
        </w:tc>
        <w:tc>
          <w:tcPr>
            <w:tcW w:w="847" w:type="dxa"/>
            <w:tcBorders>
              <w:top w:val="nil"/>
              <w:left w:val="nil"/>
              <w:bottom w:val="nil"/>
              <w:right w:val="nil"/>
              <w:insideH w:val="nil"/>
              <w:insideV w:val="nil"/>
            </w:tcBorders>
            <w:shd w:fill="auto" w:val="clear"/>
          </w:tcPr>
          <w:p>
            <w:pPr>
              <w:pStyle w:val="ListParagraph"/>
              <w:spacing w:lineRule="auto" w:line="240" w:before="0" w:after="0"/>
              <w:ind w:left="0" w:hanging="0"/>
              <w:contextualSpacing/>
              <w:jc w:val="center"/>
              <w:rPr/>
            </w:pPr>
            <w:r>
              <w:rPr>
                <w:rFonts w:ascii="Times New Roman" w:hAnsi="Times New Roman"/>
                <w:sz w:val="24"/>
                <w:szCs w:val="24"/>
              </w:rPr>
              <w:t>32-33</w:t>
            </w:r>
          </w:p>
        </w:tc>
      </w:tr>
    </w:tbl>
    <w:p>
      <w:pPr>
        <w:pStyle w:val="ListParagraph"/>
        <w:spacing w:lineRule="auto" w:line="240" w:before="0" w:after="0"/>
        <w:ind w:left="0" w:hanging="0"/>
        <w:contextualSpacing/>
        <w:jc w:val="left"/>
        <w:rPr>
          <w:rFonts w:ascii="Times New Roman" w:hAnsi="Times New Roman"/>
          <w:b/>
          <w:b/>
          <w:sz w:val="24"/>
          <w:szCs w:val="24"/>
        </w:rPr>
      </w:pPr>
      <w:r>
        <w:rPr>
          <w:rFonts w:ascii="Times New Roman" w:hAnsi="Times New Roman"/>
          <w:b/>
          <w:sz w:val="24"/>
          <w:szCs w:val="24"/>
        </w:rPr>
        <w:t xml:space="preserve">Тема №6          </w:t>
      </w:r>
      <w:r>
        <w:rPr>
          <w:rFonts w:ascii="Times New Roman" w:hAnsi="Times New Roman"/>
          <w:b w:val="false"/>
          <w:bCs w:val="false"/>
          <w:sz w:val="24"/>
          <w:szCs w:val="24"/>
        </w:rPr>
        <w:t xml:space="preserve">Оценка регулирующего воздействия: обзор нормативно- правовых </w:t>
      </w:r>
    </w:p>
    <w:p>
      <w:pPr>
        <w:pStyle w:val="ListParagraph"/>
        <w:spacing w:lineRule="auto" w:line="240" w:before="0" w:after="0"/>
        <w:ind w:left="0" w:hanging="0"/>
        <w:contextualSpacing/>
        <w:jc w:val="left"/>
        <w:rPr>
          <w:rFonts w:ascii="Times New Roman" w:hAnsi="Times New Roman"/>
          <w:b w:val="false"/>
          <w:b w:val="false"/>
          <w:bCs w:val="false"/>
          <w:sz w:val="24"/>
          <w:szCs w:val="24"/>
        </w:rPr>
      </w:pPr>
      <w:r>
        <w:rPr>
          <w:rFonts w:ascii="Times New Roman" w:hAnsi="Times New Roman"/>
          <w:b w:val="false"/>
          <w:bCs w:val="false"/>
          <w:sz w:val="24"/>
          <w:szCs w:val="24"/>
        </w:rPr>
        <w:t xml:space="preserve">                           </w:t>
      </w:r>
      <w:r>
        <w:rPr>
          <w:rFonts w:ascii="Times New Roman" w:hAnsi="Times New Roman"/>
          <w:b w:val="false"/>
          <w:bCs w:val="false"/>
          <w:sz w:val="24"/>
          <w:szCs w:val="24"/>
        </w:rPr>
        <w:t xml:space="preserve">актов, регулирующих вопросы ОРВ, обмен опытом, обсуждение                  </w:t>
        <w:tab/>
        <w:tab/>
        <w:t xml:space="preserve">   ключевых проблем организации работы при проведении процедур ОРВ</w:t>
      </w:r>
    </w:p>
    <w:p>
      <w:pPr>
        <w:pStyle w:val="ListParagraph"/>
        <w:spacing w:lineRule="auto" w:line="240" w:before="0" w:after="0"/>
        <w:ind w:left="0" w:hanging="0"/>
        <w:contextualSpacing/>
        <w:jc w:val="left"/>
        <w:rPr>
          <w:rFonts w:ascii="Times New Roman" w:hAnsi="Times New Roman"/>
          <w:b w:val="false"/>
          <w:b w:val="false"/>
          <w:bCs w:val="false"/>
          <w:sz w:val="24"/>
          <w:szCs w:val="24"/>
        </w:rPr>
      </w:pPr>
      <w:r>
        <w:rPr>
          <w:rFonts w:ascii="Times New Roman" w:hAnsi="Times New Roman"/>
          <w:b w:val="false"/>
          <w:bCs w:val="false"/>
          <w:sz w:val="24"/>
          <w:szCs w:val="24"/>
        </w:rPr>
        <w:tab/>
        <w:tab/>
        <w:t xml:space="preserve">  </w:t>
      </w:r>
      <w:r>
        <w:rPr>
          <w:rFonts w:ascii="Times New Roman" w:hAnsi="Times New Roman"/>
          <w:b w:val="false"/>
          <w:bCs w:val="false"/>
          <w:i/>
          <w:iCs/>
          <w:sz w:val="24"/>
          <w:szCs w:val="24"/>
        </w:rPr>
        <w:t xml:space="preserve"> (круглый стол)</w:t>
      </w:r>
      <w:r>
        <w:rPr>
          <w:rFonts w:ascii="Times New Roman" w:hAnsi="Times New Roman"/>
          <w:b w:val="false"/>
          <w:bCs w:val="false"/>
          <w:sz w:val="24"/>
          <w:szCs w:val="24"/>
        </w:rPr>
        <w:tab/>
      </w:r>
    </w:p>
    <w:p>
      <w:pPr>
        <w:pStyle w:val="ListParagraph"/>
        <w:spacing w:lineRule="auto" w:line="240" w:before="0" w:after="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sectPr>
          <w:headerReference w:type="default" r:id="rId4"/>
          <w:footerReference w:type="default" r:id="rId5"/>
          <w:type w:val="nextPage"/>
          <w:pgSz w:w="11906" w:h="16838"/>
          <w:pgMar w:left="1701" w:right="850" w:header="708" w:top="1134" w:footer="708" w:bottom="1134" w:gutter="0"/>
          <w:pgNumType w:fmt="decimal"/>
          <w:formProt w:val="false"/>
          <w:textDirection w:val="lrTb"/>
          <w:docGrid w:type="default" w:linePitch="360" w:charSpace="4096"/>
        </w:sect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i/>
          <w:i/>
          <w:sz w:val="28"/>
          <w:szCs w:val="28"/>
        </w:rPr>
      </w:pPr>
      <w:r>
        <w:rPr>
          <w:rFonts w:ascii="Times New Roman" w:hAnsi="Times New Roman"/>
          <w:i/>
          <w:sz w:val="28"/>
          <w:szCs w:val="28"/>
        </w:rPr>
        <w:t xml:space="preserve">Настоящая Программа </w:t>
      </w:r>
    </w:p>
    <w:p>
      <w:pPr>
        <w:pStyle w:val="Normal"/>
        <w:spacing w:lineRule="auto" w:line="240" w:before="0" w:after="0"/>
        <w:jc w:val="right"/>
        <w:rPr>
          <w:rFonts w:ascii="Times New Roman" w:hAnsi="Times New Roman"/>
          <w:i/>
          <w:i/>
          <w:sz w:val="28"/>
          <w:szCs w:val="28"/>
        </w:rPr>
      </w:pPr>
      <w:r>
        <w:rPr>
          <w:rFonts w:ascii="Times New Roman" w:hAnsi="Times New Roman"/>
          <w:i/>
          <w:sz w:val="28"/>
          <w:szCs w:val="28"/>
        </w:rPr>
        <w:t>содержит кратко сформулированные</w:t>
      </w:r>
    </w:p>
    <w:p>
      <w:pPr>
        <w:pStyle w:val="Normal"/>
        <w:spacing w:lineRule="auto" w:line="240" w:before="0" w:after="0"/>
        <w:jc w:val="right"/>
        <w:rPr>
          <w:rFonts w:ascii="Times New Roman" w:hAnsi="Times New Roman"/>
          <w:i/>
          <w:i/>
          <w:sz w:val="28"/>
          <w:szCs w:val="28"/>
        </w:rPr>
      </w:pPr>
      <w:r>
        <w:rPr>
          <w:rFonts w:ascii="Times New Roman" w:hAnsi="Times New Roman"/>
          <w:i/>
          <w:sz w:val="28"/>
          <w:szCs w:val="28"/>
        </w:rPr>
        <w:t xml:space="preserve"> </w:t>
      </w:r>
      <w:r>
        <w:rPr>
          <w:rFonts w:ascii="Times New Roman" w:hAnsi="Times New Roman"/>
          <w:i/>
          <w:sz w:val="28"/>
          <w:szCs w:val="28"/>
        </w:rPr>
        <w:t xml:space="preserve">основные положения (тезисы) деятельности </w:t>
      </w:r>
    </w:p>
    <w:p>
      <w:pPr>
        <w:pStyle w:val="Normal"/>
        <w:spacing w:lineRule="auto" w:line="240" w:before="0" w:after="0"/>
        <w:jc w:val="right"/>
        <w:rPr>
          <w:rFonts w:ascii="Times New Roman" w:hAnsi="Times New Roman"/>
          <w:i/>
          <w:i/>
          <w:sz w:val="28"/>
          <w:szCs w:val="28"/>
        </w:rPr>
      </w:pPr>
      <w:r>
        <w:rPr>
          <w:rFonts w:ascii="Times New Roman" w:hAnsi="Times New Roman"/>
          <w:i/>
          <w:sz w:val="28"/>
          <w:szCs w:val="28"/>
        </w:rPr>
        <w:t xml:space="preserve">по содействию развитию конкуренции </w:t>
      </w:r>
    </w:p>
    <w:p>
      <w:pPr>
        <w:pStyle w:val="Normal"/>
        <w:spacing w:lineRule="auto" w:line="240" w:before="0" w:after="0"/>
        <w:jc w:val="right"/>
        <w:rPr>
          <w:rFonts w:ascii="Times New Roman" w:hAnsi="Times New Roman"/>
          <w:b/>
          <w:b/>
          <w:i/>
          <w:i/>
          <w:sz w:val="28"/>
          <w:szCs w:val="28"/>
        </w:rPr>
      </w:pPr>
      <w:r>
        <w:rPr>
          <w:rFonts w:ascii="Times New Roman" w:hAnsi="Times New Roman"/>
          <w:i/>
          <w:sz w:val="28"/>
          <w:szCs w:val="28"/>
        </w:rPr>
        <w:t>в Республике Мордовия</w:t>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ВВЕДЕНИЕ</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rPr>
      </w:pPr>
      <w:r>
        <w:rPr>
          <w:rFonts w:cs="Times New Roman" w:ascii="Times New Roman" w:hAnsi="Times New Roman"/>
          <w:sz w:val="26"/>
          <w:szCs w:val="26"/>
        </w:rPr>
        <w:t xml:space="preserve">Программа обучения по курсу «Содействие развитию конкуренции в Республике Мордовия» в 2019 г. (далее – Программа) разработана Уполномоченным органом по развитию конкуренции в Республике Мордовия – Министерством экономики, торговли и предпринимательства Республики Мордовия (далее – Уполномоченный орган) в целях </w:t>
      </w:r>
      <w:r>
        <w:rPr>
          <w:rFonts w:ascii="Times New Roman" w:hAnsi="Times New Roman"/>
          <w:color w:val="000000" w:themeColor="text1"/>
          <w:sz w:val="26"/>
          <w:szCs w:val="26"/>
        </w:rPr>
        <w:t xml:space="preserve">реализации Указа Президента Российской Федерации от </w:t>
      </w:r>
      <w:r>
        <w:rPr>
          <w:rFonts w:ascii="Times New Roman" w:hAnsi="Times New Roman"/>
          <w:sz w:val="26"/>
          <w:szCs w:val="26"/>
          <w:lang w:eastAsia="ru-RU"/>
        </w:rPr>
        <w:t xml:space="preserve">21 декабря 2017 г.  № 618 «Об основных направлениях государственной политики по развитию конкуренции» и </w:t>
      </w:r>
      <w:r>
        <w:rPr>
          <w:rFonts w:ascii="Times New Roman" w:hAnsi="Times New Roman"/>
          <w:sz w:val="26"/>
          <w:szCs w:val="26"/>
        </w:rPr>
        <w:t>Национального плана развития конкуренции в Российской Федерации на 2018 – 2020 годы,</w:t>
      </w:r>
      <w:r>
        <w:rPr>
          <w:rFonts w:ascii="Times New Roman" w:hAnsi="Times New Roman"/>
          <w:sz w:val="26"/>
          <w:szCs w:val="26"/>
          <w:lang w:eastAsia="ru-RU"/>
        </w:rPr>
        <w:t xml:space="preserve"> перечня поручений Президента Российской Федерации от 15 мая 2018 г. № Пр-817ГС по итогам заседания Государственного совета Российской Федерации 5 апреля 2018 года и </w:t>
      </w:r>
      <w:r>
        <w:rPr>
          <w:rFonts w:cs="Times New Roman" w:ascii="Times New Roman" w:hAnsi="Times New Roman"/>
          <w:sz w:val="26"/>
          <w:szCs w:val="26"/>
        </w:rPr>
        <w:t>продолжения работы в условиях действия Стандарта развития конкуренции в Республике Мордовия.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Проведение обучающих тренингов для </w:t>
      </w:r>
      <w:r>
        <w:rPr>
          <w:rFonts w:ascii="Times New Roman" w:hAnsi="Times New Roman"/>
          <w:sz w:val="26"/>
          <w:szCs w:val="26"/>
        </w:rPr>
        <w:t>специалистов</w:t>
      </w:r>
      <w:r>
        <w:rPr>
          <w:rFonts w:cs="Times New Roman" w:ascii="Times New Roman" w:hAnsi="Times New Roman"/>
          <w:sz w:val="26"/>
          <w:szCs w:val="26"/>
        </w:rPr>
        <w:t xml:space="preserve"> органов местного самоуправления, </w:t>
      </w:r>
      <w:r>
        <w:rPr>
          <w:rFonts w:ascii="Times New Roman" w:hAnsi="Times New Roman"/>
          <w:sz w:val="26"/>
          <w:szCs w:val="26"/>
        </w:rPr>
        <w:t>органов исполнительной власти</w:t>
      </w:r>
      <w:r>
        <w:rPr>
          <w:rFonts w:cs="Times New Roman" w:ascii="Times New Roman" w:hAnsi="Times New Roman"/>
          <w:sz w:val="26"/>
          <w:szCs w:val="26"/>
        </w:rPr>
        <w:t xml:space="preserve"> и иных организаций является одной из основных задач в части осуществления конкурентной политики Координационного совета по развитию конкуренции при Главе Республики Мордовия.</w:t>
      </w:r>
    </w:p>
    <w:p>
      <w:pPr>
        <w:pStyle w:val="Normal"/>
        <w:spacing w:lineRule="auto" w:line="240" w:before="0" w:after="0"/>
        <w:ind w:firstLine="709"/>
        <w:jc w:val="both"/>
        <w:rPr>
          <w:rFonts w:ascii="Times New Roman" w:hAnsi="Times New Roman" w:cs="Times New Roman"/>
          <w:sz w:val="26"/>
          <w:szCs w:val="26"/>
        </w:rPr>
      </w:pPr>
      <w:r>
        <w:rPr>
          <w:rFonts w:eastAsia="Times New Roman" w:cs="Times New Roman" w:ascii="Times New Roman" w:hAnsi="Times New Roman"/>
          <w:sz w:val="26"/>
          <w:szCs w:val="26"/>
          <w:lang w:eastAsia="ru-RU"/>
        </w:rPr>
        <w:t>Одним из непременных условий повышения конкурентоспособности экономики региона является создание наиболее привлекательных и максимально комфортных условий для развития конкуренции на местах, в каждом муниципалитете, а для этого необходимы квалифицированные специалисты.</w:t>
      </w:r>
    </w:p>
    <w:p>
      <w:pPr>
        <w:pStyle w:val="Normal"/>
        <w:spacing w:lineRule="auto" w:line="240" w:before="0" w:after="0"/>
        <w:ind w:firstLine="709"/>
        <w:jc w:val="both"/>
        <w:rPr>
          <w:rFonts w:ascii="Times New Roman" w:hAnsi="Times New Roman"/>
        </w:rPr>
      </w:pPr>
      <w:r>
        <w:rPr>
          <w:rFonts w:cs="Times New Roman" w:ascii="Times New Roman" w:hAnsi="Times New Roman"/>
          <w:sz w:val="26"/>
          <w:szCs w:val="26"/>
        </w:rPr>
        <w:t xml:space="preserve">В соответствии с новыми нормативно – правовыми актами, принятыми на федеральном уровне, и по итогам деятельности за 2018 г. определены направления, по которым необходимо получить дополнительные знания, </w:t>
      </w:r>
      <w:r>
        <w:rPr>
          <w:rFonts w:ascii="Times New Roman" w:hAnsi="Times New Roman"/>
          <w:sz w:val="26"/>
          <w:szCs w:val="26"/>
        </w:rPr>
        <w:t>направленные на создание условий для развития конкуренции в отраслях экономической и социальной деятельности субъектов муниципального образования.</w:t>
      </w:r>
    </w:p>
    <w:p>
      <w:pPr>
        <w:pStyle w:val="Normal"/>
        <w:spacing w:lineRule="auto" w:line="240" w:before="0" w:after="0"/>
        <w:ind w:firstLine="709"/>
        <w:jc w:val="both"/>
        <w:rPr>
          <w:rFonts w:ascii="Times New Roman" w:hAnsi="Times New Roman"/>
          <w:sz w:val="26"/>
          <w:szCs w:val="26"/>
        </w:rPr>
      </w:pPr>
      <w:r>
        <w:rPr>
          <w:rFonts w:ascii="Times New Roman" w:hAnsi="Times New Roman"/>
          <w:sz w:val="26"/>
          <w:szCs w:val="26"/>
        </w:rPr>
        <w:t>В новом курсе Уполномоченный орган изложил основные тезисы, способствующие повышению качества работы по развитию конкурентной среды на рынках товаров и услуг в муниципальном образовании.</w:t>
      </w:r>
    </w:p>
    <w:p>
      <w:pPr>
        <w:pStyle w:val="Normal"/>
        <w:spacing w:lineRule="auto" w:line="240" w:before="0" w:after="0"/>
        <w:ind w:firstLine="709"/>
        <w:jc w:val="both"/>
        <w:rPr>
          <w:rFonts w:ascii="Times New Roman" w:hAnsi="Times New Roman" w:cs="Times New Roman"/>
          <w:sz w:val="26"/>
          <w:szCs w:val="26"/>
        </w:rPr>
      </w:pPr>
      <w:r>
        <w:rPr>
          <w:rFonts w:ascii="Times New Roman" w:hAnsi="Times New Roman"/>
          <w:sz w:val="26"/>
          <w:szCs w:val="26"/>
        </w:rPr>
        <w:t>Проверку знаний после проведения обучающего тренинга осуществляют специалисты Уполномоченного органа на основании предоставленных результатов итогового тестирования.</w:t>
      </w:r>
    </w:p>
    <w:p>
      <w:pPr>
        <w:sectPr>
          <w:headerReference w:type="default" r:id="rId6"/>
          <w:footerReference w:type="default" r:id="rId7"/>
          <w:type w:val="nextPage"/>
          <w:pgSz w:w="11906" w:h="16838"/>
          <w:pgMar w:left="880" w:right="850" w:header="708" w:top="851" w:footer="0" w:bottom="993" w:gutter="0"/>
          <w:pgNumType w:fmt="decimal"/>
          <w:formProt w:val="false"/>
          <w:textDirection w:val="lrTb"/>
          <w:docGrid w:type="default" w:linePitch="360" w:charSpace="4096"/>
        </w:sectPr>
        <w:pStyle w:val="Normal"/>
        <w:spacing w:lineRule="auto" w:line="240" w:before="0" w:after="0"/>
        <w:ind w:firstLine="709"/>
        <w:jc w:val="both"/>
        <w:rPr>
          <w:rFonts w:ascii="Times New Roman" w:hAnsi="Times New Roman"/>
        </w:rPr>
      </w:pPr>
      <w:r>
        <w:rPr>
          <w:rFonts w:eastAsia="Times New Roman" w:cs="Times New Roman" w:ascii="Times New Roman" w:hAnsi="Times New Roman"/>
          <w:sz w:val="26"/>
          <w:szCs w:val="26"/>
          <w:lang w:eastAsia="ru-RU"/>
        </w:rPr>
        <w:t>Обучающий курс не претендует на всеобщий охват рассматриваемых проблем, в нем представлены как апробированные и общепризнанные знания и положения, так и спорные вопросы, демонстрирующие разные точки зрения. В целях совершенствования Программы Уполномоченный орган готов принять предложения и рекомендации по ее дальнейшему улучшению.</w:t>
      </w:r>
    </w:p>
    <w:p>
      <w:pPr>
        <w:pStyle w:val="Normal"/>
        <w:spacing w:lineRule="auto" w:line="240" w:before="0" w:after="0"/>
        <w:jc w:val="both"/>
        <w:rPr>
          <w:rFonts w:ascii="Times New Roman" w:hAnsi="Times New Roman" w:cs="Times New Roman"/>
          <w:b/>
          <w:b/>
          <w:sz w:val="16"/>
          <w:szCs w:val="16"/>
        </w:rPr>
      </w:pPr>
      <w:r>
        <w:rPr>
          <w:rFonts w:cs="Times New Roman" w:ascii="Times New Roman" w:hAnsi="Times New Roman"/>
          <w:b/>
          <w:sz w:val="16"/>
          <w:szCs w:val="16"/>
        </w:rPr>
      </w:r>
    </w:p>
    <w:p>
      <w:pPr>
        <w:pStyle w:val="Normal"/>
        <w:spacing w:lineRule="auto" w:line="240" w:before="0" w:after="0"/>
        <w:jc w:val="center"/>
        <w:rPr>
          <w:rFonts w:ascii="Times New Roman" w:hAnsi="Times New Roman"/>
          <w:sz w:val="28"/>
          <w:szCs w:val="28"/>
        </w:rPr>
      </w:pPr>
      <w:r>
        <w:rPr>
          <w:rFonts w:cs="Times New Roman" w:ascii="Times New Roman" w:hAnsi="Times New Roman"/>
          <w:b/>
          <w:sz w:val="28"/>
          <w:szCs w:val="28"/>
        </w:rPr>
        <w:t>Тема №1</w:t>
      </w:r>
    </w:p>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r>
    </w:p>
    <w:p>
      <w:pPr>
        <w:pStyle w:val="Normal"/>
        <w:spacing w:lineRule="auto" w:line="240" w:before="0" w:after="0"/>
        <w:jc w:val="center"/>
        <w:rPr/>
      </w:pPr>
      <w:r>
        <w:rPr>
          <w:rFonts w:ascii="Times New Roman" w:hAnsi="Times New Roman"/>
          <w:b/>
          <w:sz w:val="28"/>
          <w:szCs w:val="28"/>
        </w:rPr>
        <w:t>Оценка состояния  конкурентной среды</w:t>
      </w:r>
    </w:p>
    <w:p>
      <w:pPr>
        <w:pStyle w:val="Normal"/>
        <w:spacing w:lineRule="auto" w:line="240" w:before="0" w:after="0"/>
        <w:jc w:val="center"/>
        <w:rPr/>
      </w:pPr>
      <w:r>
        <w:rPr>
          <w:rFonts w:ascii="Times New Roman" w:hAnsi="Times New Roman"/>
          <w:b/>
          <w:sz w:val="28"/>
          <w:szCs w:val="28"/>
        </w:rPr>
        <w:t>в Республике Мордовия по итогам 2018 года</w:t>
      </w:r>
    </w:p>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r>
    </w:p>
    <w:p>
      <w:pPr>
        <w:pStyle w:val="Normal"/>
        <w:spacing w:lineRule="auto" w:line="240" w:before="0" w:after="0"/>
        <w:ind w:firstLine="454"/>
        <w:jc w:val="both"/>
        <w:rPr/>
      </w:pPr>
      <w:r>
        <w:rPr>
          <w:rFonts w:eastAsia="Times New Roman" w:cs="Times New Roman" w:ascii="Times New Roman" w:hAnsi="Times New Roman"/>
          <w:color w:val="000000"/>
          <w:sz w:val="28"/>
          <w:szCs w:val="28"/>
          <w:lang w:eastAsia="ru-RU"/>
        </w:rPr>
        <w:t xml:space="preserve">Ежегодно Уполномоченный орган — Минэкономики Республики Мордовия совместно с ГКУ РМ «НЦСЭМ» проводит мониторинг конкурентной среды. Цель </w:t>
      </w:r>
      <w:r>
        <w:rPr>
          <w:rFonts w:ascii="Times New Roman" w:hAnsi="Times New Roman"/>
          <w:sz w:val="28"/>
          <w:szCs w:val="28"/>
        </w:rPr>
        <w:t>мониторинга состоит в оценке состояния и развития конкурентной среды на рынках товаров и услуг Республики Мордовия.</w:t>
      </w:r>
    </w:p>
    <w:p>
      <w:pPr>
        <w:pStyle w:val="Normal"/>
        <w:spacing w:lineRule="auto" w:line="240" w:before="0" w:after="0"/>
        <w:ind w:firstLine="454"/>
        <w:jc w:val="both"/>
        <w:rPr/>
      </w:pPr>
      <w:r>
        <w:rPr>
          <w:rFonts w:ascii="Times New Roman" w:hAnsi="Times New Roman"/>
          <w:sz w:val="28"/>
          <w:szCs w:val="28"/>
        </w:rPr>
        <w:t>Оценка развития конкуренции в регионе предполагает формирование формализованного информационно - методического обеспечения, которое может быть использовано на различных уровнях государственной власти и местного самоуправления для оценки результативности развития конкуренции, потенциала и специфики каждого из социально значимых и приоритетных рынков.</w:t>
      </w:r>
    </w:p>
    <w:p>
      <w:pPr>
        <w:pStyle w:val="12"/>
        <w:spacing w:lineRule="auto" w:line="240" w:before="0" w:after="0"/>
        <w:ind w:firstLine="454"/>
        <w:jc w:val="both"/>
        <w:rPr>
          <w:rFonts w:ascii="Times New Roman" w:hAnsi="Times New Roman"/>
        </w:rPr>
      </w:pPr>
      <w:r>
        <w:rPr>
          <w:rFonts w:ascii="Times New Roman" w:hAnsi="Times New Roman"/>
          <w:color w:val="000000"/>
          <w:sz w:val="28"/>
          <w:szCs w:val="28"/>
          <w:lang w:eastAsia="ru-RU"/>
        </w:rPr>
        <w:t>Результаты социологического исследования «Удовлетворенность потребителей качеством товаров и услуг на рынках Республики Мордовия и состоянием ценовой конкуренции», проведенного в 2018 году показывают следующее.</w:t>
      </w:r>
    </w:p>
    <w:p>
      <w:pPr>
        <w:pStyle w:val="12"/>
        <w:spacing w:lineRule="auto" w:line="240" w:before="0" w:after="0"/>
        <w:ind w:firstLine="454"/>
        <w:jc w:val="both"/>
        <w:rPr>
          <w:rFonts w:ascii="Times New Roman" w:hAnsi="Times New Roman"/>
        </w:rPr>
      </w:pPr>
      <w:r>
        <w:rPr>
          <w:rFonts w:ascii="Times New Roman" w:hAnsi="Times New Roman"/>
          <w:color w:val="000000"/>
          <w:sz w:val="28"/>
          <w:szCs w:val="28"/>
          <w:lang w:eastAsia="ru-RU"/>
        </w:rPr>
        <w:t>Наиболее развитыми по критерию концентрации компаний (предприятий, организаций, фирм) являются следующие рынки товаров: продуктов питания, строительных материалов, нефтепродуктов и лекарственных препаратов.</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lang w:eastAsia="ru-RU"/>
        </w:rPr>
        <w:t>Тем не менее на дефицит компаний (предприятий, организаций, фирм) чаще остальных жаловались жители Атяшевского (13,3 %) и Большеберезниковского (10,0 %) муниципальных районов.</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lang w:eastAsia="ru-RU"/>
        </w:rPr>
        <w:t xml:space="preserve">Низкую представленность рынка лекарственных препаратов  отметили жители Кадошкинского (33,3 %), Атяшевского (23,3 %), Ельниковского (20,0 %), Лямбирского (20,0 %), Ичалковского (20,0 %), Темниковского (20,0 %), Теньгушевского (20,0 %), Ковылкинского (17,5 %) и Старошайговского (16,7 %) муниципальных районов.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lang w:eastAsia="ru-RU"/>
        </w:rPr>
        <w:t xml:space="preserve">Недостаток компаний (предприятий, организаций, фирм), предоставляющих услуги сотовой связи, чаще остальных отмечали жители Кадошкинского (46,7 %), Лямбирского (33,3 %), Ардатовского (20,5 %) и Краснослободского (17,5 %) муниципальных районов.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lang w:eastAsia="ru-RU"/>
        </w:rPr>
        <w:t xml:space="preserve">Дефицит на рынке услуг розничной торговли фиксируется в Кадошкинском (33,3 %), Ардатовском (30,0 %), Ичалковском (26,7 %), Краснослободском (22,5 %), Зубово-Полянском (20,8 %) и Теньгушевском (20,0 %) муниципальных районах.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lang w:eastAsia="ru-RU"/>
        </w:rPr>
        <w:t>Выбор интернет-провайдеров ограничен в Ардатовском (35,0 %), Ковылкинском (30,8 %), Большеигнатовском (30,0 %), Ичалковском (30,0 %), Кадошкинском (26,7 %), Кочкуровском (26,7 %), Ельниковском (23,3 %), Краснослободском (22,5 %) и Рузаевском (22,4 %) муниципальных районах.</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Доступ к финансовым услугам (кредитование, страхование и т. д.) ввиду недостаточного количества действующих акторов затруднен в Кадошкинском (56,7 %), Лямбирском (50,0 %), Большеигнатовском (33,3 %), Ельниковском (30,0 %), Ромодановском (30,0 %), Атюрьевском (23,3 %), Большеберезниковском (20,0 %), Ковылкинском (20,0 %) и Старошайговском (20,0 %) муниципальных районах.</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pacing w:val="-4"/>
          <w:sz w:val="28"/>
          <w:szCs w:val="28"/>
          <w:lang w:eastAsia="ru-RU"/>
        </w:rPr>
        <w:t>В достаточной степени высокая концентрация компаний (предприятий, организаций, фирм) на рассматриваемых рынках товаров и услуг выступила одним из значимых факторов удовлетворенности потребителей их ассортиментной  политикой.</w:t>
      </w:r>
    </w:p>
    <w:p>
      <w:pPr>
        <w:pStyle w:val="Default"/>
        <w:ind w:firstLine="454"/>
        <w:jc w:val="both"/>
        <w:rPr/>
      </w:pPr>
      <w:r>
        <w:rPr>
          <w:rFonts w:eastAsia="Times New Roman"/>
          <w:spacing w:val="-4"/>
          <w:sz w:val="28"/>
          <w:szCs w:val="28"/>
          <w:lang w:eastAsia="ru-RU"/>
        </w:rPr>
        <w:t>Неудовлетворенность возможностью выбора продуктов питания наиболее выражена в Атяшевском (46,7 %), Кадошкинском (44,4 %), Теньгушевском (40,0 %), Торбеевском (29,6 %), Большеберезниковском (27,6 %), Краснослободском (27,3 %) и Старошайговском (26,7 %) муниципальных районах.</w:t>
      </w:r>
    </w:p>
    <w:p>
      <w:pPr>
        <w:pStyle w:val="Default"/>
        <w:ind w:firstLine="454"/>
        <w:jc w:val="both"/>
        <w:rPr/>
      </w:pPr>
      <w:r>
        <w:rPr>
          <w:rFonts w:eastAsia="Times New Roman"/>
          <w:spacing w:val="-4"/>
          <w:sz w:val="28"/>
          <w:szCs w:val="28"/>
          <w:lang w:eastAsia="ru-RU"/>
        </w:rPr>
        <w:t xml:space="preserve">Недостаточная обеспеченность строительными материалами фиксируется преимущественно в Кадошкинском (57,7 %), Кочкуровском (45,0 %), Лямбирском (36,0 %), Старошайговском (36,0 %), Ельниковском (33,3 %), Атяшевском (31,6 %), Краснослободском (31,4 %), Теньгушевском (30,8 %) и Ковылкинском (28,6 %) муниципальных районах. Нефтепродукты недостаточно представлены в Атяшевском (61,9 %), Ельниковском (57,1 %), Кадошкинском (56,0 %), Дубенском (40,0 %) и Ковылкинском (36,4 %) муниципальных районах, а также в ГО Саранск (38,9 %). </w:t>
      </w:r>
    </w:p>
    <w:p>
      <w:pPr>
        <w:pStyle w:val="Default"/>
        <w:ind w:firstLine="454"/>
        <w:jc w:val="both"/>
        <w:rPr/>
      </w:pPr>
      <w:r>
        <w:rPr>
          <w:rFonts w:eastAsia="Times New Roman"/>
          <w:spacing w:val="-4"/>
          <w:sz w:val="28"/>
          <w:szCs w:val="28"/>
          <w:lang w:eastAsia="ru-RU"/>
        </w:rPr>
        <w:t xml:space="preserve">Поиск лекарственных препаратов в большей степени затруднен в Кадошкинском (46,2 %), Атяшевском (41,4 %), Зубово-Полянском (38,6 %), Старошайговском (28,6 %) и Темниковском (28,6 %) муниципальных районах. </w:t>
      </w:r>
    </w:p>
    <w:p>
      <w:pPr>
        <w:pStyle w:val="Normal"/>
        <w:spacing w:lineRule="auto" w:line="240" w:before="0" w:after="0"/>
        <w:ind w:firstLine="454"/>
        <w:jc w:val="both"/>
        <w:rPr>
          <w:rFonts w:ascii="Times New Roman" w:hAnsi="Times New Roman"/>
        </w:rPr>
      </w:pPr>
      <w:r>
        <w:rPr>
          <w:rFonts w:eastAsia="Calibri" w:cs="Times New Roman" w:ascii="Times New Roman" w:hAnsi="Times New Roman"/>
          <w:color w:val="000000"/>
          <w:spacing w:val="-4"/>
          <w:kern w:val="2"/>
          <w:sz w:val="28"/>
          <w:szCs w:val="28"/>
          <w:lang w:eastAsia="ar-SA"/>
        </w:rPr>
        <w:t xml:space="preserve">Недовольство ассортиментом услуг сотовой связи выражали преимущественно жители Кадошкинского (38,5 %), Ельниковского (37,0 %), Зубово-Полянского (31,1 %), Ардатовского (25,0 %), Большеберезниковского (24,0 %) и Ичалковского (22,2 %) муниципальных районов. </w:t>
      </w:r>
    </w:p>
    <w:p>
      <w:pPr>
        <w:pStyle w:val="Normal"/>
        <w:spacing w:lineRule="auto" w:line="240" w:before="0" w:after="0"/>
        <w:ind w:firstLine="454"/>
        <w:jc w:val="both"/>
        <w:rPr>
          <w:rFonts w:ascii="Times New Roman" w:hAnsi="Times New Roman"/>
        </w:rPr>
      </w:pPr>
      <w:r>
        <w:rPr>
          <w:rFonts w:eastAsia="Calibri" w:cs="Times New Roman" w:ascii="Times New Roman" w:hAnsi="Times New Roman"/>
          <w:color w:val="000000"/>
          <w:spacing w:val="-4"/>
          <w:kern w:val="2"/>
          <w:sz w:val="28"/>
          <w:szCs w:val="28"/>
          <w:lang w:eastAsia="ar-SA"/>
        </w:rPr>
        <w:t xml:space="preserve">Представленность рынка услуг розничной торговли не устраивает население Кадошкинского (44,4 %), Старошайговского (40,0 %), Краснослободского (37,1 %), Кочкуровского (37,0 %), Ельниковского (31,0 %), Зубово-Полянского (31,0 %) и Атяшевского (30,0 %) муниципальных районов. </w:t>
      </w:r>
    </w:p>
    <w:p>
      <w:pPr>
        <w:pStyle w:val="Normal"/>
        <w:spacing w:lineRule="auto" w:line="240" w:before="0" w:after="0"/>
        <w:ind w:firstLine="454"/>
        <w:jc w:val="both"/>
        <w:rPr>
          <w:rFonts w:ascii="Times New Roman" w:hAnsi="Times New Roman"/>
        </w:rPr>
      </w:pPr>
      <w:r>
        <w:rPr>
          <w:rFonts w:eastAsia="Calibri" w:cs="Times New Roman" w:ascii="Times New Roman" w:hAnsi="Times New Roman"/>
          <w:color w:val="000000"/>
          <w:spacing w:val="-4"/>
          <w:kern w:val="2"/>
          <w:sz w:val="28"/>
          <w:szCs w:val="28"/>
          <w:lang w:eastAsia="ar-SA"/>
        </w:rPr>
        <w:t xml:space="preserve">Выбор услуг доступа к сети Интернет затруднен в Кадошкинском (40,0 %), Ичалковском (38,5 %), Торбеевском (34,8 %), Ельниковском (32,1 %), Ардатовском (30,0 %) и Зубово-Полянском (27,3 %) муниципальных районах. </w:t>
      </w:r>
    </w:p>
    <w:p>
      <w:pPr>
        <w:pStyle w:val="Normal"/>
        <w:spacing w:lineRule="auto" w:line="240" w:before="0" w:after="0"/>
        <w:ind w:firstLine="454"/>
        <w:jc w:val="both"/>
        <w:rPr>
          <w:rFonts w:ascii="Times New Roman" w:hAnsi="Times New Roman"/>
        </w:rPr>
      </w:pPr>
      <w:r>
        <w:rPr>
          <w:rFonts w:eastAsia="Calibri" w:cs="Times New Roman" w:ascii="Times New Roman" w:hAnsi="Times New Roman"/>
          <w:color w:val="000000"/>
          <w:spacing w:val="-4"/>
          <w:kern w:val="2"/>
          <w:sz w:val="28"/>
          <w:szCs w:val="28"/>
          <w:lang w:eastAsia="ar-SA"/>
        </w:rPr>
        <w:t xml:space="preserve">Недостаток услуг гостиниц наблюдается в Большеигнатовском (68,8 %), Атяшевском (58,3 %), Торбеевском (50,0 %), Ардатовском (48,6 %), Зубово-Полянском (48,5 %), Ельниковском (43,5 %), Большеберезниковском (41,2 %), Кадошкинском (40,9 %), Ковылкинском (37,1 %), Ичалковском (36,4 %), Рузаевском (36,4 %), Кочкуровском (35,0 %), Ромодановском (33,3 %) и Атюрьевском (30,4 %) муниципальных районах.  </w:t>
      </w:r>
    </w:p>
    <w:p>
      <w:pPr>
        <w:pStyle w:val="Normal"/>
        <w:spacing w:lineRule="auto" w:line="240" w:before="0" w:after="0"/>
        <w:ind w:firstLine="454"/>
        <w:jc w:val="both"/>
        <w:rPr>
          <w:rFonts w:ascii="Times New Roman" w:hAnsi="Times New Roman"/>
        </w:rPr>
      </w:pPr>
      <w:r>
        <w:rPr>
          <w:rFonts w:eastAsia="Calibri" w:cs="Times New Roman" w:ascii="Times New Roman" w:hAnsi="Times New Roman"/>
          <w:color w:val="000000"/>
          <w:spacing w:val="-4"/>
          <w:kern w:val="2"/>
          <w:sz w:val="28"/>
          <w:szCs w:val="28"/>
          <w:lang w:eastAsia="ar-SA"/>
        </w:rPr>
        <w:t>Низкая наполненность рынка бытовых услуг фиксируется в Старошайговском (60,7 %), Кадошкинском (56,0 %), Кочкуровском (52,2 %), Атяшевском (48,3 %), Торбеевском (48,0 %), Большеберезниковском (43,5 %), Теньгушевском (40,7 %), Большеигнатовском (40,0 %), Ельниковском (38,5 %), Ковылкинском (37,8 %) и Зубово-Полянском (36,8 %) муниципальных районах.</w:t>
      </w:r>
    </w:p>
    <w:p>
      <w:pPr>
        <w:pStyle w:val="Default"/>
        <w:ind w:firstLine="454"/>
        <w:jc w:val="both"/>
        <w:rPr/>
      </w:pPr>
      <w:r>
        <w:rPr>
          <w:rFonts w:eastAsia="Times New Roman"/>
          <w:spacing w:val="-4"/>
          <w:kern w:val="2"/>
          <w:sz w:val="28"/>
          <w:szCs w:val="28"/>
          <w:lang w:eastAsia="ar-SA"/>
        </w:rPr>
        <w:t xml:space="preserve">Качество товаров и услуг является значимым фактором их выбора, особенно когда высока концентрация действующих компаний (предприятий, организаций, фирм) и широк ассортимент предоставляемых предложений. </w:t>
      </w:r>
    </w:p>
    <w:p>
      <w:pPr>
        <w:pStyle w:val="Default"/>
        <w:ind w:firstLine="454"/>
        <w:jc w:val="both"/>
        <w:rPr/>
      </w:pPr>
      <w:r>
        <w:rPr>
          <w:rFonts w:eastAsia="Times New Roman"/>
          <w:spacing w:val="-4"/>
          <w:kern w:val="2"/>
          <w:sz w:val="28"/>
          <w:szCs w:val="28"/>
          <w:lang w:eastAsia="ar-SA"/>
        </w:rPr>
        <w:t>Серьезные претензии к качеству продуктов питания предъявляли жители Атяшевского (63,3 %), Ельниковского (56,7 %), Кадошкинского (51,7 %), Зубово-Полянского (50,0 %), Рузаевского (47,9 %), Ковылкинского (45,0 %) и Ичалковского (42,9 %) муниципальных районов, а также ГО Саранск (47,1 %).</w:t>
      </w:r>
    </w:p>
    <w:p>
      <w:pPr>
        <w:pStyle w:val="Default"/>
        <w:ind w:firstLine="454"/>
        <w:jc w:val="both"/>
        <w:rPr/>
      </w:pPr>
      <w:r>
        <w:rPr>
          <w:rFonts w:eastAsia="Times New Roman"/>
          <w:spacing w:val="-4"/>
          <w:kern w:val="2"/>
          <w:sz w:val="28"/>
          <w:szCs w:val="28"/>
          <w:lang w:eastAsia="ar-SA"/>
        </w:rPr>
        <w:t xml:space="preserve">Потребительские свойства строительных материалов чаще остальных не устраивали респондентов Кадошкинского (58,6 %), Кочкуровского (40,9 %), Ельниковского (40,0 %), Краснослободского (34,3 %) и Лямбирского (33,3 %) муниципальных районов. Нефтепродуктами в меньшей степени удовлетворены в Атяшевском (76,2 %), Торбеевском (75,0 %), Ельниковском (71,4 %), Кадошкинском (63,0 %), Ковылкинском (52,8 %) и Рузаевском (50,0 %) муниципальных районах, а также в ГО Саранск (54,1 %). </w:t>
      </w:r>
    </w:p>
    <w:p>
      <w:pPr>
        <w:pStyle w:val="Default"/>
        <w:ind w:firstLine="454"/>
        <w:jc w:val="both"/>
        <w:rPr/>
      </w:pPr>
      <w:r>
        <w:rPr>
          <w:rFonts w:eastAsia="Times New Roman"/>
          <w:spacing w:val="-4"/>
          <w:kern w:val="2"/>
          <w:sz w:val="28"/>
          <w:szCs w:val="28"/>
          <w:lang w:eastAsia="ar-SA"/>
        </w:rPr>
        <w:t xml:space="preserve">Ненадлежащего качества лекарственные препараты приобретены потребителями Зубово-Полянского (58,1 %), Атяшевского (55,2 %), Рузаевского (45,7 %), Кадошкинского (44,8 %), Старошайговского (44,8 %), Кочкуровского (36,7 %) муниципальных районов и ГО Саранск (40,5 %). </w:t>
      </w:r>
    </w:p>
    <w:p>
      <w:pPr>
        <w:pStyle w:val="Default"/>
        <w:spacing w:before="0" w:after="200"/>
        <w:ind w:firstLine="454"/>
        <w:contextualSpacing/>
        <w:jc w:val="both"/>
        <w:rPr>
          <w:rFonts w:eastAsia="Times New Roman"/>
          <w:sz w:val="28"/>
          <w:szCs w:val="28"/>
          <w:lang w:eastAsia="ru-RU"/>
        </w:rPr>
      </w:pPr>
      <w:r>
        <w:rPr>
          <w:rFonts w:eastAsia="Times New Roman"/>
          <w:sz w:val="28"/>
          <w:szCs w:val="28"/>
          <w:lang w:eastAsia="ru-RU"/>
        </w:rPr>
        <w:t xml:space="preserve">Недовольство качеством услуг сотовой связи локализовано преимущественно в Кадошкинском (46,4 %), Ельниковском (33,3 %) и Большеигнатовском (31,0 %) муниципальных районах, а также в ГО Саранск (28,7 %). </w:t>
      </w:r>
    </w:p>
    <w:p>
      <w:pPr>
        <w:pStyle w:val="Default"/>
        <w:spacing w:before="0" w:after="200"/>
        <w:ind w:firstLine="454"/>
        <w:contextualSpacing/>
        <w:jc w:val="both"/>
        <w:rPr>
          <w:rFonts w:eastAsia="Times New Roman"/>
          <w:sz w:val="28"/>
          <w:szCs w:val="28"/>
          <w:lang w:eastAsia="ru-RU"/>
        </w:rPr>
      </w:pPr>
      <w:r>
        <w:rPr>
          <w:rFonts w:eastAsia="Times New Roman"/>
          <w:sz w:val="28"/>
          <w:szCs w:val="28"/>
          <w:lang w:eastAsia="ru-RU"/>
        </w:rPr>
        <w:t xml:space="preserve">На плохой доступ к сети Интернет указали потребители из Кадошкинского (40,7 %), Ичалковского (38,5 %), Темниковского (35,0 %), Торбеевского (34,8 %), Большеигнатовского (29,6 %), Краснослободского (28,1 %) и Атяшевского (28,0 %) муниципальных районов. Услугами культуры чаще остальных не удовлетворены в Торбеевском (47,4 %), Кадошкинском (42,9 %), Зубово-Полянском (39,0 %), Атяшевском (33,3 %) и Рузаевском (29,3 %) муниципальных районах. </w:t>
      </w:r>
    </w:p>
    <w:p>
      <w:pPr>
        <w:pStyle w:val="Default"/>
        <w:spacing w:before="0" w:after="200"/>
        <w:ind w:firstLine="454"/>
        <w:contextualSpacing/>
        <w:jc w:val="both"/>
        <w:rPr>
          <w:rFonts w:eastAsia="Times New Roman"/>
          <w:sz w:val="28"/>
          <w:szCs w:val="28"/>
          <w:lang w:eastAsia="ru-RU"/>
        </w:rPr>
      </w:pPr>
      <w:r>
        <w:rPr>
          <w:rFonts w:eastAsia="Times New Roman"/>
          <w:sz w:val="28"/>
          <w:szCs w:val="28"/>
          <w:lang w:eastAsia="ru-RU"/>
        </w:rPr>
        <w:t xml:space="preserve">Некачественные бытовые услуги оказываются в Старошайговском (46,4 %), Ельниковском (46,2 %), Кадошкинском (44,4 %), Теньгушевском (44,4 %), Атяшевском (41,4 %), Кочкуровском (39,1 %), Зубово-Полянском (36,8 %), Рузаевском (35,4 %), Торбеевском (32,0 %) и Большеберезниковском (30,4 %) муниципальных районах. </w:t>
      </w:r>
    </w:p>
    <w:p>
      <w:pPr>
        <w:pStyle w:val="Default"/>
        <w:spacing w:before="0" w:after="200"/>
        <w:ind w:firstLine="454"/>
        <w:contextualSpacing/>
        <w:jc w:val="both"/>
        <w:rPr/>
      </w:pPr>
      <w:r>
        <w:rPr>
          <w:rFonts w:eastAsia="Times New Roman"/>
          <w:sz w:val="28"/>
          <w:szCs w:val="28"/>
          <w:lang w:eastAsia="ru-RU"/>
        </w:rPr>
        <w:t>Дошкольное образование не соответствует потребительским запросам населения Кадошкинского (46,4 %), Атяшевского (36,8 %), Большеберезниковского (36,4 %), Ромодановского (34,8 %), Атюрьевского (33,3 %), Зубово-Полянского (33,3 %) и Темниковского (33,3 %) муниципальных районов, а также ГО Саранск (26,5 %).</w:t>
      </w:r>
    </w:p>
    <w:p>
      <w:pPr>
        <w:pStyle w:val="Default"/>
        <w:spacing w:before="0" w:after="200"/>
        <w:ind w:firstLine="454"/>
        <w:contextualSpacing/>
        <w:jc w:val="both"/>
        <w:rPr/>
      </w:pPr>
      <w:r>
        <w:rPr>
          <w:rFonts w:eastAsia="Times New Roman" w:cs="Times New Roman"/>
          <w:color w:val="000000"/>
          <w:sz w:val="28"/>
          <w:szCs w:val="28"/>
          <w:lang w:eastAsia="ru-RU"/>
        </w:rPr>
        <w:t>Рынки товаров и услуг разнятся по уровню удовлетворенности ценовой политикой: по отношению к первым фиксируется выраженное негативное, а по отношению ко вторым — позитивное отношение.</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На завышенные цены на продукты питания указали жители Атяшевского (83,3 %), Торбеевского (80,0 %), Кадошкинского (69,0 %), Рузаевского (68,0 %), Ковылкинского (67,5 %), Ельниковского (66,7 %), Теньгушевского (66,7 %), Большеигнатовского (63,3 %) и Зубово-Полянского (59,6 %) муниципальных районов, а также ГО Саранск (68,2 %).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Строительные материалы слишком дороги для потребителей из Кадошкинского (75,9 %), Ельниковского (63,3 %), Атяшевского (63,2 %), Торбеевского (61,5 %), Кочкуровского (60,9 %), Зубово-Полянского (54,5 %), Ковылкинского (53,8 %), Большеигнатовского (53,6 %) муниципальных районов и ГО Саранск (56,5 %).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Критике подвергается политика ценообразования на рынке нефтепродуктов в Торбеевском (82,6 %), Атяшевском (81,0 %), Ельниковском (71,4 %), Старо-шайговском (69,2 %), Кадошкинском (66,7 %), Теньгушевском (66,7 %), Ковылкинском (64,9 %) муниципальных районах, а также в ГО Саранск (76,4 %).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Стоимостные характеристики лекарственных препаратов не соответствуют потребительским ожиданиям в Атяшевском (76,7 %), Ельниковском (71,4 %), Рузаевском (66,7 %), Кадошкинском (65,5 %), Лямбирском (65,0 %), Старошайговском (63,3 %), Торбеевском (63,3 %), Ковылкинском (62,9 %), Зубово-Полянском (61,7 %) муниципальных районах и ГО Саранск (75,2 %).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Уровень цен на услуги сотовой связи не устраивает преимущественно население Рузаевского (38,8 %), Лямбирского (37,5 %), Кадошкинского (35,7 %), Ельниковского (33,3 %) и Атяшевского (32,1 %) муниципальных районов, а также ГО Саранск (39,6 %).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Излишне дорогой Интернет предоставляется в Ичалковском (39,3 %), Лямбирском (35,3 %), Кадошкинском (33,3 %), Торбеевском (33,3 %), Зубово-Полянском (31,9 %), Большеигнатовском (29,6 %) и Ельниковском (29,6 %) муниципальных районах, а также в ГО Саранск (30,3 %).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Стоимость услуг культуры не соответствует интересам жителей Торбеевского (54,5 %), Зубово-Полянского (41,9 %), Кадошкинского (35,7 %) и Рузаевского (33,3 %) муниципальных районов, а также ГО Саранск (30,7 %).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Ценообразование на рынке бытовых услуг негативно воспринимается в Старошайговском (60,7 %), Торбеевском (53,6 %), Большеберезниковском (50,0 %), Атяшевском (48,3 %), Кадошкинском (48,1 %), Ковылкинском (44,4 %), Кочкуровском (43,5 %), Ельниковском (42,3 %) и Теньгушевском (42,3 %) муниципальных районах.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По мнению респондентов, завышенными представляются цены на услуги дошкольного образования на территории Кадошкинского (42,9 %), Атяшевского (36,8 %), Зубово-Полянского (36,6 %), Ромодановского (36,4 %), Большеберезниковского (30,4 %), Темниковского (33,3 %) и Атюрьевского (29,2 %) муниципальных районов, а также ГО Саранск (36,8 %).</w:t>
      </w:r>
    </w:p>
    <w:p>
      <w:pPr>
        <w:pStyle w:val="Normal"/>
        <w:spacing w:lineRule="auto" w:line="240" w:before="0" w:after="0"/>
        <w:ind w:firstLine="454"/>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Наличие естественных монополий на рынках товаров и услуг является объективным экономическим явлением: они производят уникальный продукт, почти не имеющий аналогов, и лишь при отсутствии конкуренции способны приносить прибыль. Наиболее востребованные естественные монополии на территории Республики Мордовия действуют в области электроснабжения, газоснабжения, водоснабжения, теплоснабжения, почтовой связи, водоотведения, водоочистки и стационарной телефонной связи.</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rPr>
        <w:t xml:space="preserve">Наибольшие негативные оценки относительно цен на услуги электроснабжения выразили потребители Рузаевского (78,3 %), Ельниковского (63,3 %), Лямбирского (60,0 %), Большеберезникого (56,7 %), Зубово-Полянского (56,3 %), Торбеевского (53,3 %), Ичалковского (51,7 %), Ардатовского (50,0 %), Атяшевского (50,0 %) муниципальных районов, а также ГО Саранск (63,4 %).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rPr>
        <w:t>Высокий уровень цен на услуги теплоснабжения не устраивает преимущественно жителей Рузаевского (72,1 %), Атяшевского (70,0 %), Торбеевского (66,7 %), Зубово-Полянского (60,9 %), Лямбирского (60,0 %), Большеберезниковского (54,5 %), Кадошкинского (53,6 %), Темниковского (53,3 %) муниципальных районов и ГО Саранск (78,1 %).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rPr>
        <w:t>По услугам газоснабжения ситуация обстоит следующим образом: высокие тарифы отметили опрошенные в Атяшевском (66,7 %), Ельниковском (63,3 %), Рузаевском (59,6 %), Зубово-Полянском (58,3 %), Большеигнатовском (56,7 %), Торбеевском (56,7 %), Ичалковском (55,6 %), Большеберезниковском (55,2 %), Атюрьевском (53,3 %), Кочкуровском (48,3 %) муниципальных районах, а также в ГО Саранск (48,0 %).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pacing w:val="-2"/>
          <w:sz w:val="28"/>
          <w:szCs w:val="28"/>
        </w:rPr>
        <w:t>Отрицательные оценки относительно тарифов на услуги водоснабжения дали респонденты из Атяшевского (62,5 %), Ромодановского (58,6 %), Кочкуровского (55,2 %), Лямбирского (55,0 %), Рузаевского (54,8 %), Зубово-Полянского (54,2 %), Большеберезниковского (50,0 %), Ельниковского (50,0 %) и Ичалковского (48,3 %) муниципальных районов и ГО Саранск (64,7 %).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rPr>
        <w:t>Негативное отношение к ценовой политике организаций, оказывающих услуги водоотведения, превалирует в Ромодановском (62,5 %), Рузаевском (60,0 %), Атяшевском (57,9 %), Старошайговском (53,8 %), Зубово-Полянском (53,3 %), Ичалковском (50,0 %), Ковылкинском (50,0 %), Лямбирском (47,2 %), Ельниковском (40,7 %) муниципальных районах и в ГО Саранск (49,8 %).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rPr>
        <w:t>Ценовая политика услуг водоочистки не устраивает жителей Лямбирского (69,0 %), Ромодановского (68,0 %), Рузаевского (64,1 %), Атяшевского (56,3 %), Ичалковского (52,9 %), Зубово-Полянского (52,3 %), Ковылкинского (51,4 %), Ельниковского (47,8 %), Кочкуровского (47,6 %) муниципальных районов, а также ГО Саранск (63,4 %).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rPr>
        <w:t>Ценами на услуги почтовой связи в большей степени не удовлетворены потребители Атяшевского (58,3 %), Ковылкинского (50,0 %), Рузаевского (40,9 %), Зубово-Полянского (31,3 %), Ичалковского (29,6 %), Кочкуровского (29,6 %) муниципальных районов, а также ГО Саранск (42,7 %).</w:t>
      </w:r>
    </w:p>
    <w:p>
      <w:pPr>
        <w:pStyle w:val="Normal"/>
        <w:spacing w:lineRule="auto" w:line="240" w:before="0" w:after="0"/>
        <w:ind w:firstLine="454"/>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Чаще неудовлетворенность ценами на услуги стационарной телефонной связи фиксируется в Рузаевском (47,2 %), Атяшевском (41,2 %), Большеберезниковском (39,1 %), Ичалковском (39,1 %), Зубово-Полянском (33,3 %), Кочкуровском (32,0 %), Краснослободском (29,4 %), Кадошкинском (27,3 %), Инсарском (25,9 %) муниципальных районах и в ГО Саранск (37,1 %).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spacing w:val="-4"/>
          <w:sz w:val="28"/>
          <w:szCs w:val="28"/>
        </w:rPr>
        <w:t xml:space="preserve">Качество электроснабжения преимущественно низко оценили жители Зубово-Полянского (41,9 %), Болшеберезниковского (35,7 %), Рузаевского (34,1 %), Темниковского (27,6 %), Атяшевского (26,7 %), Теньгушевского (22,2 %), Лямбирского (20,0 %) муниципальных районов и ГО Саранск (30,8 %).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sz w:val="28"/>
          <w:szCs w:val="28"/>
        </w:rPr>
        <w:t xml:space="preserve">Недовольны качеством услуг теплоснабжения респонденты Большеберезниковского (45,0 %), Рузаевского (42,9 %), Темниковского (42,9 %), Зубово-Полянского (31,7 %), Кадошкинского (30,8 %), Торбеевского (28,0 %), Атяшевского (25,0 %), Ромодановского (25,0 %), Старошайговского (25,0 %) муниципальных районов, а также ГО Саранск (39,1 %).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sz w:val="28"/>
          <w:szCs w:val="28"/>
        </w:rPr>
        <w:t>По качеству услуг газоснабжения высокие показатели неудовлетворенности фиксируются на территориях Зубово-Полянского (39,5 %), Рузаевского (27,9 %), Большеберезниковского (21,4 %), Ичалковского (20,8 %), Старо-шайговского (20,7 %), Кадошкинского (18,5 %), Ардатовского (16,7 %), Атяшевского (16,7 %), Ромодановского (16,0 %) муниципальных районов и ГО Саранск (21,2 %).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spacing w:val="-4"/>
          <w:sz w:val="28"/>
          <w:szCs w:val="28"/>
        </w:rPr>
        <w:t>Претензии к качеству услуг водоснабжения высказывали жители Ромодановского (53,8 %), Лямбирского (52,5 %), Атяшевского (50,0 %), Кадошкинского (44,4 %), Рузаевского (42,1 %), Старошайговского (41,4 %), Кочкуровского (39,3 %), Ичалковского (38,5 %), Зубово-Полянского (34,9 %) муниципальных районов и ГО Саранск (57,3 %).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sz w:val="28"/>
          <w:szCs w:val="28"/>
        </w:rPr>
        <w:t>Негативные оценки в адрес качества водоотведения озвучивали респонденты Ромодановского (60,0 %), Ковылкинского (45,7 %), Атяшевского (42,1 %), Старошайговского (40,0 %), Темниковского (40,0 %), Атюрьевского (38,1 %), Дубенского (34,8 %), Торбеевского (34,8 %), Рузаевского (33,3 %) муниципальных районов и ГО Саранск (40,1 %).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sz w:val="28"/>
          <w:szCs w:val="28"/>
        </w:rPr>
        <w:t>Критике преимущественно подвергается качество водоочистки в Ромодановском (81,0 %), Лямбирском (62,1 %), Кадошкинском (54,2 %), Ковылкинском (51,5 %), Старошайговском (50,0 %), Рузаевском (48,0 %), Темниковском (46,2 %), Кочкуровском (42,9 %), Ичалковском (40,0 %) муниципальных районах, а также в ГО Саранск (67,6 %).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spacing w:val="-4"/>
          <w:sz w:val="28"/>
          <w:szCs w:val="28"/>
        </w:rPr>
        <w:t>В большей степени качество почтовой связи не устраивает жителей Атяшевского (54,2 %), Ковылкинского (34,3 %), Большеберезниковского (33,3 %), Кадошкинского (32,0 %), Рузаевского (31,0 %), Торбеевского (29,6 %), Зубово-Полянского (26,2 %), Ичалковского (25,0 %), Ромодановского (25,0 %) муниципальных районов, а также ГО Саранск (43,4 %).</w:t>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color w:val="000000"/>
          <w:sz w:val="28"/>
          <w:szCs w:val="28"/>
          <w:lang w:eastAsia="ru-RU"/>
        </w:rPr>
        <w:t>Высокие показатели неудовлетворенности качеством услуг стационарной телефонной связи фиксируются на территориях Ичалковского (33,3 %), Атяшевского (29,4 %), Рузаевского (27,8 %), Кадошкинского (25,0 %), Зубово-Полянского (22,2 %), Старошайговского (21,7 %), Ромодановского (21,4 %), Большеберезниковского (19,0 %), Лямбирского (18,8 %), Ардатовского (17,9 %), Кочкуровского (16,7 %) муниципальных районов и ГО Саранск (14,0 %).</w:t>
      </w:r>
    </w:p>
    <w:p>
      <w:pPr>
        <w:pStyle w:val="Normal"/>
        <w:spacing w:lineRule="auto" w:line="240" w:before="0" w:after="0"/>
        <w:ind w:firstLine="454"/>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ind w:firstLine="454"/>
        <w:jc w:val="both"/>
        <w:rPr>
          <w:rFonts w:ascii="Times New Roman" w:hAnsi="Times New Roman"/>
        </w:rPr>
      </w:pPr>
      <w:r>
        <w:rPr>
          <w:rFonts w:eastAsia="Times New Roman" w:cs="Times New Roman" w:ascii="Times New Roman" w:hAnsi="Times New Roman"/>
          <w:b/>
          <w:bCs/>
          <w:i/>
          <w:iCs/>
          <w:color w:val="000000"/>
          <w:sz w:val="28"/>
          <w:szCs w:val="28"/>
          <w:lang w:eastAsia="ru-RU"/>
        </w:rPr>
        <w:t>Административные барьеры в сфере предпринимательства</w:t>
      </w:r>
      <w:r>
        <w:rPr>
          <w:rFonts w:eastAsia="Times New Roman" w:cs="Times New Roman" w:ascii="Times New Roman" w:hAnsi="Times New Roman"/>
          <w:color w:val="000000"/>
          <w:sz w:val="28"/>
          <w:szCs w:val="28"/>
          <w:lang w:eastAsia="ru-RU"/>
        </w:rPr>
        <w:t xml:space="preserve"> в Республике Мордовия оценены посредством массового и экспертного опросов представителей предпринимательского сообщества. </w:t>
      </w:r>
    </w:p>
    <w:p>
      <w:pPr>
        <w:pStyle w:val="Normal"/>
        <w:spacing w:lineRule="auto" w:line="240" w:before="0" w:after="0"/>
        <w:ind w:firstLine="454"/>
        <w:jc w:val="both"/>
        <w:rPr/>
      </w:pPr>
      <w:r>
        <w:rPr>
          <w:rFonts w:eastAsia="Times New Roman" w:cs="Times New Roman" w:ascii="Times New Roman" w:hAnsi="Times New Roman"/>
          <w:color w:val="000000"/>
          <w:spacing w:val="4"/>
          <w:kern w:val="2"/>
          <w:sz w:val="28"/>
          <w:szCs w:val="28"/>
          <w:lang w:eastAsia="ru-RU"/>
        </w:rPr>
        <w:t>В основном предприниматели сталкивались с административными барьерами при контроле и надзоре за текущей предпринимательской деятельностью (35,1 %), лицензировании отдельных видов деятельности (16,9 %), получении разрешения на строительство (16,9 %), регистрации субъектов малого и среднего предпринимательства (13,0 %), технологическом присоединении к объектам электросетевого хозяйства (11,7 %), при получении государственной поддержки (11,7 %). Другие области присутствия административных барьеров упоминались реже.</w:t>
      </w:r>
    </w:p>
    <w:p>
      <w:pPr>
        <w:pStyle w:val="Normal"/>
        <w:spacing w:lineRule="auto" w:line="240" w:before="0" w:after="0"/>
        <w:ind w:firstLine="454"/>
        <w:jc w:val="both"/>
        <w:rPr/>
      </w:pPr>
      <w:r>
        <w:rPr>
          <w:rFonts w:eastAsia="Times New Roman" w:cs="Times New Roman" w:ascii="Times New Roman" w:hAnsi="Times New Roman"/>
          <w:color w:val="000000"/>
          <w:spacing w:val="4"/>
          <w:kern w:val="2"/>
          <w:sz w:val="28"/>
          <w:szCs w:val="28"/>
          <w:lang w:eastAsia="ru-RU"/>
        </w:rPr>
        <w:t>По мнению большинства опрошенных в 2018 г. предпринимателей, уровень административных барьеров в Республике Мордовия за последний год не изменился (40,6 % ответов респондентов). Его снижение заметили 24,8 % участников опроса, а 9,2 % респондентов считают, что уровень административных барьеров повысился. При этом изменений не замечали чаще представители бизнеса из ГО Саранск, а снижение уровня административных барьеров более очевидно для предпринимателей из муниципальных районов.</w:t>
      </w:r>
    </w:p>
    <w:p>
      <w:pPr>
        <w:pStyle w:val="Normal"/>
        <w:spacing w:lineRule="auto" w:line="240"/>
        <w:ind w:firstLine="454"/>
        <w:jc w:val="both"/>
        <w:rPr/>
      </w:pPr>
      <w:r>
        <w:rPr>
          <w:rFonts w:cs="Times New Roman" w:ascii="Times New Roman" w:hAnsi="Times New Roman"/>
          <w:sz w:val="28"/>
          <w:szCs w:val="28"/>
        </w:rPr>
        <w:t>В процессе осуществления деятельности представители бизнеса сталкиваются с необходимостью прохождения различных процедур. Наиболее позитивно они оценивают процедуру государственной регистрации юридического лица, индивидуального предпринимателя. Причем ее оценки в динамике повышаются. Не являются достаточно сложными и другие процедуры, связанные с предпринимательской деятельностью.</w:t>
      </w:r>
    </w:p>
    <w:p>
      <w:pPr>
        <w:pStyle w:val="Normal"/>
        <w:spacing w:lineRule="auto" w:line="240" w:before="0" w:after="0"/>
        <w:ind w:firstLine="454"/>
        <w:jc w:val="both"/>
        <w:rPr/>
      </w:pPr>
      <w:r>
        <w:rPr>
          <w:rFonts w:eastAsia="Times New Roman" w:cs="Times New Roman" w:ascii="Times New Roman" w:hAnsi="Times New Roman"/>
          <w:color w:val="000000"/>
          <w:spacing w:val="4"/>
          <w:kern w:val="2"/>
          <w:sz w:val="28"/>
          <w:szCs w:val="28"/>
          <w:lang w:eastAsia="ru-RU"/>
        </w:rPr>
        <w:t>Прохождение процедур занимает у предпринимателей определенные временные периоды. Наиболее затратными по времени оказались процедуры подключения к электросетям и получения разрешения на строительство, их средний срок прохождения по сравнению с 2017 г. увеличился. При этом существенно снизился срок подключения к сетям газоснабжения, который в предыдущем году был наиболее длительным. Также уменьшилось среднее количество дней, необходимых для подключения к сетям водоснабжения и водоотведения, тепловым и телефонным сетям, для получения лицензии на осуществление конкретного вида деятельности, выписок из ЕГРЮЛ, ЕГРИП, ЕГРН, для государственной регистрации юридического лица.</w:t>
      </w:r>
    </w:p>
    <w:p>
      <w:pPr>
        <w:pStyle w:val="Normal"/>
        <w:spacing w:lineRule="auto" w:line="240" w:before="0" w:after="0"/>
        <w:ind w:firstLine="454"/>
        <w:jc w:val="both"/>
        <w:rPr>
          <w:rFonts w:ascii="Times New Roman" w:hAnsi="Times New Roman" w:eastAsia="Times New Roman" w:cs="Times New Roman"/>
          <w:color w:val="000000"/>
          <w:spacing w:val="4"/>
          <w:kern w:val="2"/>
          <w:sz w:val="28"/>
          <w:szCs w:val="28"/>
          <w:lang w:eastAsia="ru-RU"/>
        </w:rPr>
      </w:pPr>
      <w:r>
        <w:rPr>
          <w:rFonts w:eastAsia="Times New Roman" w:cs="Times New Roman" w:ascii="Times New Roman" w:hAnsi="Times New Roman"/>
          <w:color w:val="000000"/>
          <w:spacing w:val="4"/>
          <w:kern w:val="2"/>
          <w:sz w:val="28"/>
          <w:szCs w:val="28"/>
          <w:lang w:eastAsia="ru-RU"/>
        </w:rPr>
      </w:r>
    </w:p>
    <w:p>
      <w:pPr>
        <w:pStyle w:val="Normal"/>
        <w:spacing w:lineRule="auto" w:line="288" w:before="0" w:after="0"/>
        <w:ind w:firstLine="454"/>
        <w:jc w:val="both"/>
        <w:rPr>
          <w:rFonts w:ascii="Times New Roman" w:hAnsi="Times New Roman"/>
          <w:i/>
          <w:i/>
          <w:iCs/>
          <w:sz w:val="24"/>
          <w:szCs w:val="24"/>
        </w:rPr>
      </w:pPr>
      <w:r>
        <w:rPr>
          <w:rFonts w:eastAsia="Times New Roman" w:cs="Times New Roman" w:ascii="Times New Roman" w:hAnsi="Times New Roman"/>
          <w:b/>
          <w:bCs/>
          <w:i/>
          <w:iCs/>
          <w:color w:val="000000"/>
          <w:spacing w:val="4"/>
          <w:kern w:val="2"/>
          <w:sz w:val="24"/>
          <w:szCs w:val="24"/>
          <w:lang w:eastAsia="ru-RU"/>
        </w:rPr>
        <w:t xml:space="preserve">По результатам общероссийского опроса </w:t>
      </w:r>
      <w:r>
        <w:rPr>
          <w:rFonts w:ascii="Times New Roman" w:hAnsi="Times New Roman"/>
          <w:i/>
          <w:iCs/>
          <w:color w:val="000000"/>
          <w:sz w:val="24"/>
          <w:szCs w:val="24"/>
        </w:rPr>
        <w:t xml:space="preserve">наиболее серьезным барьером для ведения предпринимательской деятельности являются высокие налоги, причем значимость данной проблемы значительно возросла: на важность данного барьера указали 63 % респондентов (56 % в 2018 году). </w:t>
      </w:r>
    </w:p>
    <w:p>
      <w:pPr>
        <w:pStyle w:val="Normal"/>
        <w:spacing w:lineRule="auto" w:line="288" w:before="0" w:after="0"/>
        <w:ind w:firstLine="454"/>
        <w:jc w:val="both"/>
        <w:rPr>
          <w:rFonts w:ascii="Times New Roman" w:hAnsi="Times New Roman"/>
          <w:i/>
          <w:i/>
          <w:iCs/>
          <w:sz w:val="24"/>
          <w:szCs w:val="24"/>
        </w:rPr>
      </w:pPr>
      <w:r>
        <w:rPr>
          <w:rFonts w:ascii="Times New Roman" w:hAnsi="Times New Roman"/>
          <w:i/>
          <w:iCs/>
          <w:color w:val="000000"/>
          <w:sz w:val="24"/>
          <w:szCs w:val="24"/>
        </w:rPr>
        <w:t>Кроме того, значительные трудности для ведения бизнеса создает нестабильность российского законодательства в отношении регулирования деятельности предпри</w:t>
        <w:softHyphen/>
        <w:t xml:space="preserve">ятий (47 %), барьеры доступа к финансовым ресурсам (включая высокую стоимость кредитных ресурсов) (46 %) и недостаток квалифицированных кадров (37 %). </w:t>
      </w:r>
    </w:p>
    <w:p>
      <w:pPr>
        <w:pStyle w:val="Normal"/>
        <w:spacing w:lineRule="auto" w:line="288" w:before="0" w:after="0"/>
        <w:ind w:firstLine="454"/>
        <w:jc w:val="both"/>
        <w:rPr>
          <w:rFonts w:ascii="Times New Roman" w:hAnsi="Times New Roman"/>
          <w:i/>
          <w:i/>
          <w:iCs/>
          <w:sz w:val="24"/>
          <w:szCs w:val="24"/>
        </w:rPr>
      </w:pPr>
      <w:r>
        <w:rPr>
          <w:rFonts w:ascii="Times New Roman" w:hAnsi="Times New Roman"/>
          <w:i/>
          <w:iCs/>
          <w:color w:val="000000"/>
          <w:sz w:val="24"/>
          <w:szCs w:val="24"/>
        </w:rPr>
        <w:t>Стоит отметить, что проблема недостатка кадров в 2019 году значительно обострилась: в 2017 и 2018 годах на ее значимость указывали 27</w:t>
        <w:noBreakHyphen/>
        <w:t>28 % респондентов. Такая динами</w:t>
        <w:softHyphen/>
        <w:t>ка на фоне постепенного сокращения значимости барьеров доступа к финансовым ресурсам после пикового значения 56 % в 2016 году позволяет говорить об экономиче</w:t>
        <w:softHyphen/>
        <w:t xml:space="preserve">ской стабилизации на рынках Российской Федерации.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 xml:space="preserve">Для отдельных сфер экономической деятельности также характерны иные барьеры: с коррупцией со стороны органов власти сталкиваются компании отраслей топливно-энергетического комплекса (44 %), строительства (43 %), услуг по хранению и транспортировке (40 %).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Высокие транспортные и логистические издержки создают трудности для представителей сельского хозяйства (56 %), пищевой промышленности (52 %), производителей строительных материалов (50 %) и химической промышлен</w:t>
        <w:softHyphen/>
        <w:t xml:space="preserve">ности (44 %).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Представители текстильной промышленности испытывают конкурен</w:t>
        <w:softHyphen/>
        <w:t xml:space="preserve">цию со стороны теневого сектора (50 %).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 xml:space="preserve">Сложность получения доступа к земельным участкам отмечают предприятия, занимающиеся производством и распределением электроэнергии, газа, воды (50 %), а также организации, предоставляющие ремонтные услуги (47 %) и представители сельского хозяйства (40 %).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Производители неметал</w:t>
        <w:softHyphen/>
        <w:t xml:space="preserve">лических изделий считают затруднительным получение доступа к товарам и услугам субъектов естественных монополий (44 %).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Опрос представителей бизнеса показал, что 42 % респондентов считают, что органы власти только мешают бизнесу своими действиями и инициативами, что несколько выше оценки за 2017 и 2018 годы (40 %).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 xml:space="preserve"> </w:t>
      </w:r>
      <w:r>
        <w:rPr>
          <w:rFonts w:eastAsia="Times New Roman" w:cs="Times New Roman" w:ascii="Times New Roman" w:hAnsi="Times New Roman"/>
          <w:i/>
          <w:iCs/>
          <w:color w:val="000000"/>
          <w:sz w:val="24"/>
          <w:szCs w:val="24"/>
          <w:lang w:eastAsia="ru-RU"/>
        </w:rPr>
        <w:t>21 % участников опроса высказались неоднознач</w:t>
        <w:softHyphen/>
        <w:t>но по данному вопросу, отметив, что органы власти отчасти мешают, отчасти помогают бизнесу. Лишь 2 % заявили, что действия органов власти оказывают положительное влияние на российский бизнес, что сопоставимо с показателями 2016</w:t>
        <w:noBreakHyphen/>
        <w:t xml:space="preserve">2018 годов.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20 % опрошенных указали на бездействие власти и необходимость государственного вмешательства. Наиболее часто о необходимости участия органов государственной власти в регулировании отрасли заявляли представители среднего бизнеса (29 %), малого бизнеса с оборотом до 400 млн руб. (22 %) и микропредприятий (19 %). При этом лишь 22 % микропредприятий и 24 % малого бизнеса с оборотом до 400 млн руб. полагают, что вмешательство государства хотя бы иногда оказывает положительное воздействие на деятельность компании, среди более крупных компаний оценка более позитивная (38 % респондентов с годовым оборотом от 401 млн руб.).</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66 % и 67 % опрошенных представителей российского бизнеса отмечают наличие препятствий для выхода на новые продуктовые или географические рынки, соответ</w:t>
        <w:softHyphen/>
        <w:t>ственно, но при этом считают эти барьеры преодолимыми. Однако более половины ре</w:t>
        <w:softHyphen/>
        <w:t>спондентов указывают, что барьеры преодолимы только при существенных затратах. В то же время барьеры для выхода на новые продуктовые и географические рынки считают непреодолимыми только 17 % и 14 % соответственно.</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При выходе на новые продуктовые рынки с жестким противодействием традици</w:t>
        <w:softHyphen/>
        <w:t>онных участников рынка сталкиваются представители топливно-энергетического комплекса (44 %), отрасли производства и распределения электроэнергии, газа, воды (38 %), сферы услуг в области информации и связи (39 %), компаний, осуществляю</w:t>
        <w:softHyphen/>
        <w:t>щих административную деятельность и предоставляющих сопутствующие дополни</w:t>
        <w:softHyphen/>
        <w:t>тельные услуги (32 %). Представители сферы образования и строительные компании отмечают поддержку местными властями традиционных участников рынка (54 % и 43 % соответственно). Высокие транспортные издержки мешают выходу на новые продукто</w:t>
        <w:softHyphen/>
        <w:t>вые рынки производителям стройматериалов (56 %) и представителям отрасли сель</w:t>
        <w:softHyphen/>
        <w:t>ского хозяйства (40 %). Многие деревообрабатывающие предприятия (60 %), компании, предоставляющие услуги в области культуры, спорта, организации досуга и развле</w:t>
        <w:softHyphen/>
        <w:t>чений (56 %), представители пищевой промышленности (40 %) считают невозможным быстрое достижение необходимых масштабов деятельности, обеспечивающих при</w:t>
        <w:softHyphen/>
        <w:t>быльность. Компании сферы финансовых услуг (43 %) считают барьером отсутствие информации о конкурентной ситуации на рынках.</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Традиционными ключевыми факторами конкурентоспособности производимых рос</w:t>
        <w:softHyphen/>
        <w:t xml:space="preserve">сийскими компаниями товаров, работ и услуг являются низкая цена, высокое качество  и доверительные отношения с клиентами. </w:t>
      </w:r>
    </w:p>
    <w:p>
      <w:pPr>
        <w:pStyle w:val="Normal"/>
        <w:spacing w:lineRule="auto" w:line="240" w:before="0" w:after="0"/>
        <w:ind w:firstLine="454"/>
        <w:contextualSpacing/>
        <w:jc w:val="both"/>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color w:val="000000"/>
          <w:sz w:val="24"/>
          <w:szCs w:val="24"/>
          <w:lang w:eastAsia="ru-RU"/>
        </w:rPr>
        <w:t>Для гостиниц и предприятий общественного питания важнейшим фактором конкурен</w:t>
        <w:softHyphen/>
        <w:t>тоспособности является высокое качество продукции . Доверительные отноше</w:t>
        <w:softHyphen/>
        <w:t>ния с клиентами — ключевой фактор для сферы финансовых услуг. Важность уникальности продукции чаще всего отмечали представители бизнеса, реализующего свою продукцию на рынках стран СНГ. Значительные изменения зафиксированы в оценках факторов конкурентоспособности компаниями, действующими на рынках стран дальнего зарубежья: если в 2018 году для них высокое качество продукции (на это указало 33 %) и уникальность продукции (33 %) были важнее, чем низкая цена (20 %), то в 2019 году значимость низкой цены отметили уже 38 % респондентов, а каче</w:t>
        <w:softHyphen/>
        <w:t xml:space="preserve">ство и уникальность продукции — 24 % и 14 % соответственно. </w:t>
      </w:r>
    </w:p>
    <w:p>
      <w:pPr>
        <w:pStyle w:val="Normal"/>
        <w:spacing w:lineRule="auto" w:line="240" w:before="0" w:after="0"/>
        <w:ind w:firstLine="454"/>
        <w:contextualSpacing/>
        <w:jc w:val="both"/>
        <w:rPr>
          <w:rFonts w:ascii="Times New Roman" w:hAnsi="Times New Roman" w:cs="Times New Roman"/>
          <w:b/>
          <w:b/>
          <w:bCs/>
          <w:sz w:val="28"/>
          <w:szCs w:val="28"/>
        </w:rPr>
      </w:pPr>
      <w:r>
        <w:rPr>
          <w:rFonts w:cs="Times New Roman" w:ascii="Times New Roman" w:hAnsi="Times New Roman"/>
          <w:b/>
          <w:bCs/>
          <w:sz w:val="28"/>
          <w:szCs w:val="28"/>
        </w:rPr>
      </w:r>
    </w:p>
    <w:p>
      <w:pPr>
        <w:pStyle w:val="ListParagraph"/>
        <w:spacing w:lineRule="auto" w:line="240" w:before="0" w:after="0"/>
        <w:ind w:left="0" w:firstLine="709"/>
        <w:contextualSpacing/>
        <w:jc w:val="center"/>
        <w:rPr>
          <w:rFonts w:ascii="Times New Roman" w:hAnsi="Times New Roman" w:cs="Times New Roman"/>
          <w:b/>
          <w:b/>
          <w:bCs/>
          <w:sz w:val="28"/>
          <w:szCs w:val="28"/>
        </w:rPr>
      </w:pPr>
      <w:r>
        <w:rPr>
          <w:rFonts w:cs="Times New Roman" w:ascii="Times New Roman" w:hAnsi="Times New Roman"/>
          <w:b/>
          <w:bCs/>
          <w:sz w:val="28"/>
          <w:szCs w:val="28"/>
        </w:rPr>
      </w:r>
    </w:p>
    <w:p>
      <w:pPr>
        <w:pStyle w:val="ListParagraph"/>
        <w:spacing w:lineRule="auto" w:line="240" w:before="0" w:after="0"/>
        <w:ind w:left="0" w:firstLine="709"/>
        <w:contextualSpacing/>
        <w:jc w:val="center"/>
        <w:rPr>
          <w:rFonts w:ascii="Times New Roman" w:hAnsi="Times New Roman" w:cs="Times New Roman"/>
          <w:b/>
          <w:b/>
          <w:bCs/>
          <w:sz w:val="28"/>
          <w:szCs w:val="28"/>
        </w:rPr>
      </w:pPr>
      <w:r>
        <w:rPr>
          <w:rFonts w:cs="Times New Roman" w:ascii="Times New Roman" w:hAnsi="Times New Roman"/>
          <w:b/>
          <w:bCs/>
          <w:sz w:val="28"/>
          <w:szCs w:val="28"/>
        </w:rPr>
      </w:r>
    </w:p>
    <w:p>
      <w:pPr>
        <w:pStyle w:val="ListParagraph"/>
        <w:spacing w:lineRule="auto" w:line="240" w:before="0" w:after="0"/>
        <w:ind w:left="0" w:firstLine="709"/>
        <w:contextualSpacing/>
        <w:jc w:val="center"/>
        <w:rPr>
          <w:rFonts w:ascii="Times New Roman" w:hAnsi="Times New Roman" w:cs="Times New Roman"/>
          <w:b/>
          <w:b/>
          <w:bCs/>
          <w:sz w:val="28"/>
          <w:szCs w:val="28"/>
        </w:rPr>
      </w:pPr>
      <w:r>
        <w:rPr>
          <w:rFonts w:cs="Times New Roman" w:ascii="Times New Roman" w:hAnsi="Times New Roman"/>
          <w:b/>
          <w:bCs/>
          <w:sz w:val="28"/>
          <w:szCs w:val="28"/>
        </w:rPr>
      </w:r>
    </w:p>
    <w:p>
      <w:pPr>
        <w:pStyle w:val="ListParagraph"/>
        <w:spacing w:lineRule="auto" w:line="240" w:before="0" w:after="0"/>
        <w:ind w:left="0" w:firstLine="709"/>
        <w:contextualSpacing/>
        <w:jc w:val="center"/>
        <w:rPr>
          <w:rFonts w:ascii="Times New Roman" w:hAnsi="Times New Roman"/>
        </w:rPr>
      </w:pPr>
      <w:r>
        <w:rPr>
          <w:rFonts w:cs="Times New Roman" w:ascii="Times New Roman" w:hAnsi="Times New Roman"/>
          <w:b/>
          <w:bCs/>
          <w:sz w:val="28"/>
          <w:szCs w:val="28"/>
        </w:rPr>
        <w:t>Тема №2</w:t>
      </w:r>
    </w:p>
    <w:p>
      <w:pPr>
        <w:pStyle w:val="ListParagraph"/>
        <w:spacing w:lineRule="auto" w:line="240" w:before="0" w:after="0"/>
        <w:ind w:left="0" w:firstLine="709"/>
        <w:contextualSpacing/>
        <w:jc w:val="center"/>
        <w:rPr>
          <w:rFonts w:ascii="Times New Roman" w:hAnsi="Times New Roman" w:cs="Times New Roman"/>
          <w:b/>
          <w:b/>
          <w:bCs/>
          <w:sz w:val="28"/>
          <w:szCs w:val="28"/>
        </w:rPr>
      </w:pPr>
      <w:r>
        <w:rPr>
          <w:rFonts w:cs="Times New Roman" w:ascii="Times New Roman" w:hAnsi="Times New Roman"/>
          <w:b/>
          <w:bCs/>
          <w:sz w:val="28"/>
          <w:szCs w:val="28"/>
        </w:rPr>
      </w:r>
    </w:p>
    <w:p>
      <w:pPr>
        <w:pStyle w:val="ListParagraph"/>
        <w:spacing w:lineRule="auto" w:line="240" w:before="0" w:after="0"/>
        <w:ind w:left="0" w:firstLine="709"/>
        <w:contextualSpacing/>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 xml:space="preserve">(«Дорожная карта») как инструмент реализации комплекса стратегических мер по развитию конкуренции в субъектах </w:t>
      </w:r>
    </w:p>
    <w:p>
      <w:pPr>
        <w:pStyle w:val="ListParagraph"/>
        <w:spacing w:lineRule="auto" w:line="240" w:before="0" w:after="0"/>
        <w:ind w:left="0" w:firstLine="709"/>
        <w:contextualSpacing/>
        <w:jc w:val="center"/>
        <w:rPr/>
      </w:pPr>
      <w:r>
        <w:rPr>
          <w:rFonts w:eastAsia="Times New Roman" w:cs="Times New Roman" w:ascii="Times New Roman" w:hAnsi="Times New Roman"/>
          <w:b/>
          <w:sz w:val="28"/>
          <w:szCs w:val="28"/>
          <w:lang w:eastAsia="ru-RU"/>
        </w:rPr>
        <w:t>Российской Федерации</w:t>
      </w:r>
    </w:p>
    <w:p>
      <w:pPr>
        <w:pStyle w:val="ListParagraph"/>
        <w:spacing w:lineRule="auto" w:line="240" w:before="0" w:after="0"/>
        <w:ind w:left="0" w:firstLine="709"/>
        <w:contextualSpacing/>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spacing w:lineRule="auto" w:line="240" w:before="0" w:after="0"/>
        <w:ind w:firstLine="708"/>
        <w:jc w:val="both"/>
        <w:rPr/>
      </w:pPr>
      <w:r>
        <w:rPr>
          <w:rFonts w:ascii="Times New Roman" w:hAnsi="Times New Roman"/>
          <w:sz w:val="28"/>
          <w:szCs w:val="28"/>
        </w:rPr>
        <w:t xml:space="preserve">Практическая реализация мероприятий по </w:t>
      </w:r>
      <w:r>
        <w:rPr>
          <w:rFonts w:ascii="Times New Roman" w:hAnsi="Times New Roman"/>
          <w:spacing w:val="4"/>
          <w:sz w:val="28"/>
          <w:szCs w:val="28"/>
        </w:rPr>
        <w:t xml:space="preserve">развитию конкурентной среды и конкурентных отношений </w:t>
      </w:r>
      <w:r>
        <w:rPr>
          <w:rFonts w:ascii="Times New Roman" w:hAnsi="Times New Roman"/>
          <w:sz w:val="28"/>
          <w:szCs w:val="28"/>
        </w:rPr>
        <w:t xml:space="preserve">осуществляется в республике в соответствии  с задачами, поставленными Президентом Российской Федерации В.В. Путиным  в Указе от 21 декабря 2017 </w:t>
      </w:r>
      <w:r>
        <w:rPr>
          <w:rFonts w:eastAsia="Calibri" w:ascii="Times New Roman" w:hAnsi="Times New Roman"/>
          <w:color w:val="000000"/>
          <w:spacing w:val="6"/>
          <w:sz w:val="28"/>
          <w:szCs w:val="28"/>
        </w:rPr>
        <w:t xml:space="preserve"> № 618 «Об основных</w:t>
      </w:r>
      <w:r>
        <w:rPr>
          <w:rFonts w:eastAsia="Calibri" w:ascii="Times New Roman" w:hAnsi="Times New Roman"/>
          <w:sz w:val="28"/>
          <w:szCs w:val="28"/>
        </w:rPr>
        <w:t xml:space="preserve"> направлениях государственной политики по развитию конкуренции», </w:t>
      </w:r>
      <w:r>
        <w:rPr>
          <w:rFonts w:ascii="Times New Roman" w:hAnsi="Times New Roman"/>
          <w:sz w:val="28"/>
          <w:szCs w:val="28"/>
        </w:rPr>
        <w:t>Национальным планом развития конкуренции на 2018-2020 годы, решениями  Государственного совета РФ (5 апреля 2018 г.) и в соответствии с мероприятиями, определенными республиканской дорожной картой по р</w:t>
      </w:r>
      <w:r>
        <w:rPr>
          <w:rFonts w:ascii="Times New Roman" w:hAnsi="Times New Roman"/>
          <w:kern w:val="2"/>
          <w:sz w:val="28"/>
          <w:szCs w:val="28"/>
        </w:rPr>
        <w:t>азвитию конкуренции, которая является -</w:t>
      </w:r>
      <w:r>
        <w:rPr>
          <w:rFonts w:ascii="Times New Roman" w:hAnsi="Times New Roman"/>
          <w:sz w:val="28"/>
          <w:szCs w:val="28"/>
        </w:rPr>
        <w:t xml:space="preserve"> основным инструментом реализации конкурентной политики в республике.</w:t>
      </w:r>
    </w:p>
    <w:p>
      <w:pPr>
        <w:pStyle w:val="Normal"/>
        <w:spacing w:lineRule="auto" w:line="240" w:before="0" w:after="0"/>
        <w:ind w:firstLine="708"/>
        <w:jc w:val="both"/>
        <w:rPr>
          <w:rFonts w:ascii="Times New Roman" w:hAnsi="Times New Roman"/>
        </w:rPr>
      </w:pPr>
      <w:r>
        <w:rPr>
          <w:rFonts w:ascii="Times New Roman" w:hAnsi="Times New Roman"/>
          <w:sz w:val="28"/>
          <w:szCs w:val="28"/>
        </w:rPr>
        <w:t xml:space="preserve">Перечнем поручений Президента Российской Федерации (от 15 мая 2018 г. №Пр-817ГС) по итогам Государственного совета РФ  поставлена задача:   </w:t>
      </w:r>
    </w:p>
    <w:p>
      <w:pPr>
        <w:pStyle w:val="Normal"/>
        <w:overflowPunct w:val="false"/>
        <w:spacing w:lineRule="auto" w:line="240" w:before="0" w:after="0"/>
        <w:ind w:firstLine="708"/>
        <w:jc w:val="both"/>
        <w:textAlignment w:val="baseline"/>
        <w:rPr>
          <w:rFonts w:ascii="Times New Roman" w:hAnsi="Times New Roman"/>
        </w:rPr>
      </w:pPr>
      <w:r>
        <w:rPr>
          <w:rFonts w:ascii="Times New Roman" w:hAnsi="Times New Roman"/>
          <w:i/>
          <w:spacing w:val="4"/>
          <w:sz w:val="28"/>
          <w:szCs w:val="28"/>
        </w:rPr>
        <w:t>«актуализировать региональные и муниципальные планы  («дорожные карты») по содействию развитию конкуренции и обеспечить их выполнение с учетом изменений, внесенных в  Стандарт развития конкуренции в субъектах Российской Федерации и необходимости  достижения к 1 января 2022 г. ключевых показателей развития конкуренции, разработанных в соответствии с подпунктом «а» пункта 2 настоящего перечня поручений».</w:t>
      </w:r>
    </w:p>
    <w:p>
      <w:pPr>
        <w:pStyle w:val="Normal"/>
        <w:spacing w:lineRule="auto" w:line="240" w:before="0" w:after="0"/>
        <w:ind w:firstLine="708"/>
        <w:jc w:val="both"/>
        <w:rPr>
          <w:rFonts w:ascii="Times New Roman" w:hAnsi="Times New Roman"/>
        </w:rPr>
      </w:pPr>
      <w:r>
        <w:rPr>
          <w:rFonts w:ascii="Times New Roman" w:hAnsi="Times New Roman"/>
          <w:sz w:val="28"/>
          <w:szCs w:val="28"/>
        </w:rPr>
        <w:t>Эта работа  должна была быть выполнена до 1 апреля 2019 года. Но в связи с  принятием Стандарта  лишь в  апреле текущего года (утвержден распоряжением Правительства Российской Федерации от 17 апреля 2019 г. №768-р) -  сроки  исполнения перенесены.</w:t>
      </w:r>
    </w:p>
    <w:p>
      <w:pPr>
        <w:pStyle w:val="Normal"/>
        <w:spacing w:lineRule="auto" w:line="240" w:before="0" w:after="0"/>
        <w:ind w:firstLine="708"/>
        <w:jc w:val="both"/>
        <w:rPr>
          <w:rFonts w:ascii="Times New Roman" w:hAnsi="Times New Roman"/>
        </w:rPr>
      </w:pPr>
      <w:r>
        <w:rPr>
          <w:rFonts w:ascii="Times New Roman" w:hAnsi="Times New Roman"/>
          <w:sz w:val="28"/>
          <w:szCs w:val="28"/>
        </w:rPr>
        <w:t>Регионы, в т.ч. Республика Мордовия, должны  подготовить промежуточный Доклад  по исполнению указанного пункта  до 1 октября 2019 г.  (окончательный до 1 апреля 2020 года).</w:t>
      </w:r>
    </w:p>
    <w:p>
      <w:pPr>
        <w:pStyle w:val="Normal"/>
        <w:spacing w:lineRule="auto" w:line="240" w:before="0" w:after="0"/>
        <w:ind w:firstLine="708"/>
        <w:jc w:val="both"/>
        <w:rPr>
          <w:rFonts w:ascii="Times New Roman" w:hAnsi="Times New Roman"/>
        </w:rPr>
      </w:pPr>
      <w:r>
        <w:rPr>
          <w:rFonts w:ascii="Times New Roman" w:hAnsi="Times New Roman"/>
          <w:sz w:val="28"/>
          <w:szCs w:val="28"/>
        </w:rPr>
        <w:t>Республиканская дорожная карта должна быть актуализирована с учетом нового Стандарта развития конкуренции.</w:t>
      </w:r>
    </w:p>
    <w:p>
      <w:pPr>
        <w:pStyle w:val="Normal"/>
        <w:spacing w:lineRule="auto" w:line="240" w:before="0" w:after="0"/>
        <w:ind w:firstLine="708"/>
        <w:jc w:val="both"/>
        <w:rPr/>
      </w:pPr>
      <w:r>
        <w:rPr>
          <w:rFonts w:ascii="Times New Roman" w:hAnsi="Times New Roman"/>
          <w:sz w:val="28"/>
          <w:szCs w:val="28"/>
        </w:rPr>
        <w:t xml:space="preserve">Основное  изменение Стандарта – в прежней редакции были предусмотрены для развития конкуренции только 11 обязательных социально значимых рынков. Кроме того, регионы сами выбирали приоритетные рынки (учитывающие специфику), в республике определены в качестве приоритетных рынки производства и переработки молока, услуг общественного питания, высокотехнологичной светотехнической и оптоэлектронной продукции. </w:t>
      </w:r>
    </w:p>
    <w:p>
      <w:pPr>
        <w:pStyle w:val="Default"/>
        <w:ind w:firstLine="708"/>
        <w:jc w:val="both"/>
        <w:rPr/>
      </w:pPr>
      <w:r>
        <w:rPr>
          <w:sz w:val="28"/>
          <w:szCs w:val="28"/>
        </w:rPr>
        <w:t xml:space="preserve">Согласно новому Стандарту необходимо включить в План не менее 33 товарных рынков (с ключевыми показателями) из Перечня товарных рынков (всего 41) согласно  приложению к Стандарту </w:t>
      </w:r>
    </w:p>
    <w:p>
      <w:pPr>
        <w:pStyle w:val="Normal"/>
        <w:spacing w:lineRule="auto" w:line="240" w:before="0" w:after="0"/>
        <w:ind w:firstLine="708"/>
        <w:jc w:val="both"/>
        <w:rPr>
          <w:rFonts w:ascii="Times New Roman" w:hAnsi="Times New Roman"/>
        </w:rPr>
      </w:pPr>
      <w:r>
        <w:rPr>
          <w:rFonts w:ascii="Times New Roman" w:hAnsi="Times New Roman"/>
          <w:sz w:val="28"/>
          <w:szCs w:val="28"/>
        </w:rPr>
        <w:t>Перечень ключевых показателей по развитию конкуренции в республике утвержден распоряжением Правительства Республики Мордовия от 18.02.2019 г. №135-Р.</w:t>
      </w:r>
    </w:p>
    <w:p>
      <w:pPr>
        <w:pStyle w:val="Normal"/>
        <w:spacing w:lineRule="auto" w:line="240" w:before="0" w:after="0"/>
        <w:ind w:firstLine="708"/>
        <w:jc w:val="both"/>
        <w:rPr>
          <w:rFonts w:ascii="Times New Roman" w:hAnsi="Times New Roman"/>
        </w:rPr>
      </w:pPr>
      <w:r>
        <w:rPr>
          <w:rFonts w:ascii="Times New Roman" w:hAnsi="Times New Roman"/>
          <w:sz w:val="28"/>
          <w:szCs w:val="28"/>
        </w:rPr>
        <w:t xml:space="preserve">В нем  36 показателей с разбивкой целевых значений  по годам.  </w:t>
      </w:r>
    </w:p>
    <w:p>
      <w:pPr>
        <w:pStyle w:val="Normal"/>
        <w:spacing w:lineRule="auto" w:line="240" w:before="0" w:after="0"/>
        <w:ind w:firstLine="708"/>
        <w:jc w:val="both"/>
        <w:rPr>
          <w:rFonts w:ascii="Times New Roman" w:hAnsi="Times New Roman"/>
        </w:rPr>
      </w:pPr>
      <w:r>
        <w:rPr>
          <w:rFonts w:cs="Times New Roman" w:ascii="Times New Roman" w:hAnsi="Times New Roman"/>
          <w:sz w:val="28"/>
          <w:szCs w:val="28"/>
        </w:rPr>
        <w:t>Новым Стандартом из перечня исключается рынок высшего профессионального образования но добавляется рынок реализации сельскохозяйственной продукции.</w:t>
      </w:r>
    </w:p>
    <w:p>
      <w:pPr>
        <w:pStyle w:val="Normal"/>
        <w:spacing w:lineRule="auto" w:line="240" w:before="0" w:after="0"/>
        <w:ind w:firstLine="709"/>
        <w:jc w:val="both"/>
        <w:rPr>
          <w:rFonts w:ascii="Times New Roman" w:hAnsi="Times New Roman"/>
        </w:rPr>
      </w:pPr>
      <w:r>
        <w:rPr>
          <w:rFonts w:cs="Times New Roman" w:ascii="Times New Roman" w:hAnsi="Times New Roman"/>
          <w:color w:val="000000"/>
          <w:sz w:val="28"/>
          <w:szCs w:val="28"/>
        </w:rPr>
        <w:t>Согласно приложению к стандарту развития конкуренции, а</w:t>
      </w:r>
      <w:r>
        <w:rPr>
          <w:rFonts w:ascii="Times New Roman" w:hAnsi="Times New Roman"/>
          <w:color w:val="000000"/>
          <w:sz w:val="28"/>
        </w:rPr>
        <w:t xml:space="preserve">дминистрация </w:t>
      </w:r>
      <w:r>
        <w:rPr>
          <w:rFonts w:cs="Times New Roman" w:ascii="Times New Roman" w:hAnsi="Times New Roman"/>
          <w:color w:val="000000"/>
          <w:sz w:val="28"/>
          <w:szCs w:val="28"/>
        </w:rPr>
        <w:t>муниципального образования (г.о. Саранск)</w:t>
      </w:r>
      <w:r>
        <w:rPr>
          <w:rFonts w:ascii="Times New Roman" w:hAnsi="Times New Roman"/>
          <w:color w:val="000000"/>
          <w:sz w:val="28"/>
        </w:rPr>
        <w:t xml:space="preserve"> разрабатывает проект перечня товарных рынков, обосновывает выбор каждого товарного рынка с описанием текущей ситуации (проблематики), анализом основных проблем, методов их решения и устанавливает обязательные для достижения ключевые показатели.</w:t>
      </w:r>
    </w:p>
    <w:p>
      <w:pPr>
        <w:pStyle w:val="Normal"/>
        <w:spacing w:lineRule="auto" w:line="240" w:before="0" w:after="0"/>
        <w:ind w:firstLine="709"/>
        <w:jc w:val="both"/>
        <w:rPr>
          <w:rFonts w:ascii="Times New Roman" w:hAnsi="Times New Roman"/>
        </w:rPr>
      </w:pPr>
      <w:r>
        <w:rPr>
          <w:rFonts w:ascii="Times New Roman" w:hAnsi="Times New Roman"/>
          <w:color w:val="000000"/>
          <w:sz w:val="28"/>
        </w:rPr>
        <w:t>Перечень товарных рынков должен включать приоритетные направления деятельности на данной территории, или те, которые требуют развития, с учетом  специфики территории, а также направлений, указанных в документах стратегического планирования, в том числе в области инвестиционной деятельности (инвестиционные проекты).</w:t>
      </w:r>
    </w:p>
    <w:p>
      <w:pPr>
        <w:pStyle w:val="Normal"/>
        <w:spacing w:lineRule="auto" w:line="240" w:before="0" w:after="0"/>
        <w:ind w:firstLine="709"/>
        <w:jc w:val="both"/>
        <w:rPr>
          <w:rFonts w:ascii="Times New Roman" w:hAnsi="Times New Roman"/>
        </w:rPr>
      </w:pPr>
      <w:r>
        <w:rPr>
          <w:rFonts w:ascii="Times New Roman" w:hAnsi="Times New Roman"/>
          <w:color w:val="000000"/>
          <w:sz w:val="28"/>
        </w:rPr>
        <w:t xml:space="preserve">Числовые значения ключевых показателей (каждого товарного рынка) и мероприятия по развитию конкуренции по ним в «дорожной карте» (далее — План мероприятий) определяются на период 2019 - 2022 годов с учетом необходимости обязательного достижения к 2022 году числовых значений ключевых показателей не ниже числовых значений, установленных приложением к стандарту. </w:t>
      </w:r>
    </w:p>
    <w:p>
      <w:pPr>
        <w:pStyle w:val="Default"/>
        <w:ind w:firstLine="709"/>
        <w:jc w:val="both"/>
        <w:rPr/>
      </w:pPr>
      <w:r>
        <w:rPr>
          <w:sz w:val="28"/>
        </w:rPr>
        <w:t xml:space="preserve">План мероприятий должен содержать следующую информацию: </w:t>
      </w:r>
    </w:p>
    <w:p>
      <w:pPr>
        <w:pStyle w:val="Default"/>
        <w:ind w:firstLine="709"/>
        <w:jc w:val="both"/>
        <w:rPr/>
      </w:pPr>
      <w:r>
        <w:rPr>
          <w:sz w:val="28"/>
        </w:rPr>
        <w:t xml:space="preserve">а) исходная фактическая информация (в том числе в числовом выражении) в отношении ситуации, сложившейся в каждой отрасли (сфере) экономики (на отдельных товарных рынках) субъекта Российской Федерации, и ее проблематики; </w:t>
      </w:r>
    </w:p>
    <w:p>
      <w:pPr>
        <w:pStyle w:val="Default"/>
        <w:ind w:firstLine="709"/>
        <w:jc w:val="both"/>
        <w:rPr/>
      </w:pPr>
      <w:r>
        <w:rPr>
          <w:sz w:val="28"/>
        </w:rPr>
        <w:t xml:space="preserve">б) сведения о мероприятиях (с указанием срока их разработки и реализации), обеспечивающих достижение установленных результатов (целей); </w:t>
      </w:r>
    </w:p>
    <w:p>
      <w:pPr>
        <w:pStyle w:val="Default"/>
        <w:ind w:firstLine="709"/>
        <w:jc w:val="both"/>
        <w:rPr/>
      </w:pPr>
      <w:r>
        <w:rPr>
          <w:sz w:val="28"/>
        </w:rPr>
        <w:t xml:space="preserve">в) результаты (цели) и ключевые показатели развития конкуренции (с указанием срока их достижения); </w:t>
      </w:r>
    </w:p>
    <w:p>
      <w:pPr>
        <w:pStyle w:val="Normal"/>
        <w:spacing w:lineRule="auto" w:line="240" w:before="0" w:after="0"/>
        <w:ind w:firstLine="709"/>
        <w:jc w:val="both"/>
        <w:rPr>
          <w:rFonts w:ascii="Times New Roman" w:hAnsi="Times New Roman"/>
        </w:rPr>
      </w:pPr>
      <w:r>
        <w:rPr>
          <w:rFonts w:ascii="Times New Roman" w:hAnsi="Times New Roman"/>
          <w:color w:val="000000"/>
          <w:sz w:val="28"/>
        </w:rPr>
        <w:t xml:space="preserve">г) сведения о исполнителях и соисполнителях, ответственных за разработку и реализацию мероприятий, обеспечивающих достижение установленных результатов (целей). </w:t>
      </w:r>
    </w:p>
    <w:p>
      <w:pPr>
        <w:pStyle w:val="Normal"/>
        <w:spacing w:lineRule="auto" w:line="240" w:before="0" w:after="0"/>
        <w:ind w:firstLine="709"/>
        <w:jc w:val="both"/>
        <w:rPr>
          <w:rFonts w:ascii="Times New Roman" w:hAnsi="Times New Roman"/>
        </w:rPr>
      </w:pPr>
      <w:r>
        <w:rPr>
          <w:rFonts w:cs="Times New Roman" w:ascii="Times New Roman" w:hAnsi="Times New Roman"/>
          <w:sz w:val="28"/>
          <w:szCs w:val="28"/>
        </w:rPr>
        <w:t>А также:</w:t>
      </w:r>
    </w:p>
    <w:p>
      <w:pPr>
        <w:pStyle w:val="Normal"/>
        <w:spacing w:lineRule="auto" w:line="240" w:before="0" w:after="0"/>
        <w:ind w:firstLine="709"/>
        <w:jc w:val="both"/>
        <w:rPr>
          <w:rFonts w:ascii="Times New Roman" w:hAnsi="Times New Roman"/>
        </w:rPr>
      </w:pPr>
      <w:r>
        <w:rPr>
          <w:rFonts w:cs="Times New Roman" w:ascii="Times New Roman" w:hAnsi="Times New Roman"/>
          <w:color w:val="000000"/>
          <w:sz w:val="28"/>
          <w:szCs w:val="28"/>
        </w:rPr>
        <w:t>а</w:t>
      </w:r>
      <w:r>
        <w:rPr>
          <w:rFonts w:ascii="Times New Roman" w:hAnsi="Times New Roman"/>
          <w:color w:val="000000"/>
          <w:sz w:val="28"/>
        </w:rPr>
        <w:t>нализ результатов мониторинга конкурентной среды;</w:t>
      </w:r>
    </w:p>
    <w:p>
      <w:pPr>
        <w:pStyle w:val="Normal"/>
        <w:spacing w:lineRule="auto" w:line="240" w:before="0" w:after="0"/>
        <w:ind w:firstLine="709"/>
        <w:jc w:val="both"/>
        <w:rPr>
          <w:rFonts w:ascii="Times New Roman" w:hAnsi="Times New Roman"/>
        </w:rPr>
      </w:pPr>
      <w:r>
        <w:rPr>
          <w:rFonts w:ascii="Times New Roman" w:hAnsi="Times New Roman"/>
          <w:color w:val="000000"/>
          <w:sz w:val="28"/>
        </w:rPr>
        <w:t xml:space="preserve">лучшие практики муниципального образования </w:t>
      </w:r>
      <w:r>
        <w:rPr>
          <w:rFonts w:cs="Times New Roman" w:ascii="Times New Roman" w:hAnsi="Times New Roman"/>
          <w:color w:val="000000"/>
          <w:sz w:val="28"/>
          <w:szCs w:val="28"/>
        </w:rPr>
        <w:t>(г.о. Саранск) по развитию конкуренции и улучшению инвестиционного климата;</w:t>
      </w:r>
    </w:p>
    <w:p>
      <w:pPr>
        <w:pStyle w:val="Normal"/>
        <w:spacing w:lineRule="auto" w:line="240" w:before="0" w:after="0"/>
        <w:ind w:firstLine="709"/>
        <w:jc w:val="both"/>
        <w:rPr>
          <w:rFonts w:ascii="Times New Roman" w:hAnsi="Times New Roman"/>
        </w:rPr>
      </w:pPr>
      <w:r>
        <w:rPr>
          <w:rFonts w:cs="Times New Roman" w:ascii="Times New Roman" w:hAnsi="Times New Roman"/>
          <w:color w:val="000000"/>
          <w:sz w:val="28"/>
          <w:szCs w:val="28"/>
        </w:rPr>
        <w:t>мероприятия и показатели, сформированные в  целях достижения ключевых показателей;</w:t>
      </w:r>
    </w:p>
    <w:p>
      <w:pPr>
        <w:pStyle w:val="Normal"/>
        <w:spacing w:lineRule="auto" w:line="240" w:before="0" w:after="0"/>
        <w:ind w:firstLine="709"/>
        <w:jc w:val="both"/>
        <w:rPr>
          <w:rFonts w:ascii="Times New Roman" w:hAnsi="Times New Roman"/>
        </w:rPr>
      </w:pPr>
      <w:r>
        <w:rPr>
          <w:rFonts w:cs="Times New Roman" w:ascii="Times New Roman" w:hAnsi="Times New Roman"/>
          <w:color w:val="000000"/>
          <w:sz w:val="28"/>
          <w:szCs w:val="28"/>
        </w:rPr>
        <w:t>системные мероприятия, которые должны быть направлены на развитие конкуренции в муниципальном образовании  Республики  Мордовия (г.о. Саранск).</w:t>
      </w:r>
    </w:p>
    <w:p>
      <w:pPr>
        <w:pStyle w:val="Default"/>
        <w:ind w:firstLine="709"/>
        <w:jc w:val="both"/>
        <w:rPr/>
      </w:pPr>
      <w:r>
        <w:rPr>
          <w:sz w:val="28"/>
          <w:szCs w:val="28"/>
        </w:rPr>
        <w:t>М</w:t>
      </w:r>
      <w:r>
        <w:rPr>
          <w:sz w:val="28"/>
        </w:rPr>
        <w:t xml:space="preserve">ероприятия, предусмотренные Планом, должны затронуть все сферы деятельности органов местного самоуправления при возможном взаимодействии по соисполнению этих мероприятий с исполнительными органами государственной власти (предусматриваемом в рамках соглашения) в соответствии с реализуемыми функциями и полномочиями, напрямую или косвенно влияющими на развитие конкуренции. </w:t>
      </w:r>
    </w:p>
    <w:p>
      <w:pPr>
        <w:pStyle w:val="Normal"/>
        <w:spacing w:lineRule="auto" w:line="240" w:before="0" w:after="0"/>
        <w:ind w:firstLine="709"/>
        <w:jc w:val="both"/>
        <w:rPr>
          <w:rFonts w:ascii="Times New Roman" w:hAnsi="Times New Roman"/>
        </w:rPr>
      </w:pPr>
      <w:r>
        <w:rPr>
          <w:rFonts w:cs="Times New Roman" w:ascii="Times New Roman" w:hAnsi="Times New Roman"/>
          <w:sz w:val="28"/>
          <w:szCs w:val="28"/>
        </w:rPr>
        <w:t>Утверждение Плана мероприятий</w:t>
      </w:r>
      <w:r>
        <w:rPr>
          <w:rFonts w:ascii="Times New Roman" w:hAnsi="Times New Roman"/>
          <w:color w:val="000000"/>
          <w:sz w:val="28"/>
        </w:rPr>
        <w:t xml:space="preserve"> осуществляется </w:t>
      </w:r>
      <w:r>
        <w:rPr>
          <w:rFonts w:cs="Times New Roman" w:ascii="Times New Roman" w:hAnsi="Times New Roman"/>
          <w:sz w:val="28"/>
          <w:szCs w:val="28"/>
        </w:rPr>
        <w:t>решением Главы муниципального образования (г.о. Саранск).</w:t>
      </w:r>
    </w:p>
    <w:p>
      <w:pPr>
        <w:pStyle w:val="Normal"/>
        <w:spacing w:lineRule="auto" w:line="240" w:before="0" w:after="0"/>
        <w:ind w:firstLine="709"/>
        <w:jc w:val="both"/>
        <w:rPr>
          <w:rFonts w:ascii="Times New Roman" w:hAnsi="Times New Roman"/>
        </w:rPr>
      </w:pPr>
      <w:r>
        <w:rPr>
          <w:rFonts w:cs="Times New Roman" w:ascii="Times New Roman" w:hAnsi="Times New Roman"/>
          <w:color w:val="000000"/>
          <w:sz w:val="28"/>
          <w:szCs w:val="28"/>
        </w:rPr>
        <w:t>К</w:t>
      </w:r>
      <w:r>
        <w:rPr>
          <w:rFonts w:ascii="Times New Roman" w:hAnsi="Times New Roman"/>
          <w:color w:val="000000"/>
          <w:sz w:val="28"/>
        </w:rPr>
        <w:t xml:space="preserve">аждому органу местного самоуправления, являющимся ответственным за выполнение мероприятий, предусмотренных Планом, рекомендуется разработать и утвердить план (план-график) по реализации мероприятий с указанием сроков и ответственных исполнителей. </w:t>
      </w:r>
    </w:p>
    <w:p>
      <w:pPr>
        <w:pStyle w:val="Default"/>
        <w:ind w:firstLine="709"/>
        <w:jc w:val="both"/>
        <w:rPr/>
      </w:pPr>
      <w:r>
        <w:rPr>
          <w:sz w:val="28"/>
          <w:szCs w:val="28"/>
        </w:rPr>
        <w:t>П</w:t>
      </w:r>
      <w:r>
        <w:rPr>
          <w:sz w:val="28"/>
        </w:rPr>
        <w:t xml:space="preserve">редполагается, что проект («дорожной карты») должен рассматриваться, одобряться и выноситься на рассмотрение на заседаниях координационного совета (рабочей группы, комиссии и др.) в </w:t>
      </w:r>
      <w:r>
        <w:rPr>
          <w:sz w:val="28"/>
          <w:szCs w:val="28"/>
        </w:rPr>
        <w:t>муниципальном образовании (г.о. Саранск) по развитию конкуренции и улучшению условий для благоприятного инвестиционного климата.</w:t>
      </w:r>
    </w:p>
    <w:p>
      <w:pPr>
        <w:pStyle w:val="Normal"/>
        <w:spacing w:lineRule="auto" w:line="240" w:before="0" w:after="0"/>
        <w:ind w:firstLine="709"/>
        <w:jc w:val="both"/>
        <w:rPr>
          <w:rFonts w:ascii="Times New Roman" w:hAnsi="Times New Roman"/>
        </w:rPr>
      </w:pPr>
      <w:r>
        <w:rPr>
          <w:rFonts w:cs="Times New Roman" w:ascii="Times New Roman" w:hAnsi="Times New Roman"/>
          <w:color w:val="000000"/>
          <w:sz w:val="28"/>
          <w:szCs w:val="28"/>
        </w:rPr>
        <w:t xml:space="preserve">Информация о реализации показателей Плана по развитию конкуренции и реализации его мероприятий размещается на официальном сайте уполномоченного органа (администрации муниципального района и г.о. Саранск)  в сети "Интернет". </w:t>
      </w:r>
    </w:p>
    <w:p>
      <w:pPr>
        <w:pStyle w:val="ListParagraph"/>
        <w:spacing w:lineRule="auto" w:line="240" w:before="0" w:after="0"/>
        <w:ind w:left="0" w:hanging="0"/>
        <w:contextualSpacing/>
        <w:jc w:val="center"/>
        <w:rPr>
          <w:rFonts w:ascii="Times New Roman" w:hAnsi="Times New Roman" w:cs="Times New Roman"/>
          <w:b/>
          <w:b/>
          <w:bCs/>
          <w:sz w:val="28"/>
          <w:szCs w:val="28"/>
        </w:rPr>
      </w:pPr>
      <w:r>
        <w:rPr>
          <w:rFonts w:cs="Times New Roman" w:ascii="Times New Roman" w:hAnsi="Times New Roman"/>
          <w:b/>
          <w:bCs/>
          <w:sz w:val="28"/>
          <w:szCs w:val="28"/>
        </w:rPr>
      </w:r>
    </w:p>
    <w:p>
      <w:pPr>
        <w:pStyle w:val="ListParagraph"/>
        <w:spacing w:lineRule="auto" w:line="240" w:before="0" w:after="0"/>
        <w:ind w:left="0" w:firstLine="709"/>
        <w:contextualSpacing/>
        <w:jc w:val="center"/>
        <w:rPr>
          <w:rFonts w:ascii="Times New Roman" w:hAnsi="Times New Roman" w:cs="Times New Roman"/>
          <w:b/>
          <w:b/>
          <w:bCs/>
          <w:sz w:val="28"/>
          <w:szCs w:val="28"/>
        </w:rPr>
      </w:pPr>
      <w:r>
        <w:rPr>
          <w:rFonts w:cs="Times New Roman" w:ascii="Times New Roman" w:hAnsi="Times New Roman"/>
          <w:b/>
          <w:bCs/>
          <w:sz w:val="28"/>
          <w:szCs w:val="28"/>
        </w:rPr>
        <w:t>Тема №3</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r>
    </w:p>
    <w:p>
      <w:pPr>
        <w:pStyle w:val="Style22"/>
        <w:widowControl w:val="false"/>
        <w:tabs>
          <w:tab w:val="left" w:pos="1030" w:leader="none"/>
        </w:tabs>
        <w:ind w:right="260" w:firstLine="540"/>
        <w:jc w:val="center"/>
        <w:rPr>
          <w:sz w:val="28"/>
          <w:szCs w:val="28"/>
          <w:lang w:val="ru-RU"/>
        </w:rPr>
      </w:pPr>
      <w:r>
        <w:rPr>
          <w:rFonts w:eastAsia="Times New Roman"/>
          <w:b/>
          <w:color w:val="000000"/>
          <w:sz w:val="28"/>
          <w:szCs w:val="28"/>
          <w:lang w:val="ru-RU"/>
        </w:rPr>
        <w:t>Ключевые показатели эффективности функционирования</w:t>
      </w:r>
    </w:p>
    <w:p>
      <w:pPr>
        <w:pStyle w:val="Style22"/>
        <w:widowControl w:val="false"/>
        <w:tabs>
          <w:tab w:val="left" w:pos="1030" w:leader="none"/>
        </w:tabs>
        <w:ind w:right="260" w:firstLine="540"/>
        <w:jc w:val="center"/>
        <w:rPr>
          <w:lang w:val="ru-RU"/>
        </w:rPr>
      </w:pPr>
      <w:r>
        <w:rPr>
          <w:rFonts w:eastAsia="Times New Roman"/>
          <w:b/>
          <w:color w:val="000000"/>
          <w:sz w:val="28"/>
          <w:szCs w:val="28"/>
          <w:lang w:val="ru-RU"/>
        </w:rPr>
        <w:t>антимонопольного комплаенса</w:t>
      </w:r>
    </w:p>
    <w:p>
      <w:pPr>
        <w:pStyle w:val="Style22"/>
        <w:widowControl w:val="false"/>
        <w:tabs>
          <w:tab w:val="left" w:pos="1030" w:leader="none"/>
        </w:tabs>
        <w:ind w:right="260" w:firstLine="540"/>
        <w:jc w:val="center"/>
        <w:rPr>
          <w:rFonts w:eastAsia="Times New Roman"/>
          <w:b/>
          <w:b/>
          <w:color w:val="000000"/>
          <w:sz w:val="28"/>
          <w:szCs w:val="28"/>
          <w:lang w:val="ru-RU"/>
        </w:rPr>
      </w:pPr>
      <w:r>
        <w:rPr>
          <w:rFonts w:eastAsia="Times New Roman"/>
          <w:b/>
          <w:color w:val="000000"/>
          <w:sz w:val="28"/>
          <w:szCs w:val="28"/>
          <w:lang w:val="ru-RU"/>
        </w:rPr>
      </w:r>
    </w:p>
    <w:p>
      <w:pPr>
        <w:pStyle w:val="Style22"/>
        <w:widowControl w:val="false"/>
        <w:tabs>
          <w:tab w:val="left" w:pos="1030" w:leader="none"/>
        </w:tabs>
        <w:ind w:right="260" w:firstLine="540"/>
        <w:rPr>
          <w:lang w:val="ru-RU"/>
        </w:rPr>
      </w:pPr>
      <w:r>
        <w:rPr>
          <w:color w:val="000000"/>
          <w:sz w:val="28"/>
          <w:szCs w:val="28"/>
          <w:lang w:val="ru-RU"/>
        </w:rPr>
        <w:t>Антимонопольный комплаенс является инструментом профилактики нарушений антимонопольного законодательства, позволяющим обеспечить достижение ключевого показателя, предусмотренного подпунктом «б» пункта 1 Национального плана развития конкуренции в Российской Федерации на 2018 - 2020 годы (далее — Национальный план), утвержденного Указом Президента РФ от 21.12.2017 № 618 «Об основных направлениях государственной политики по развитию конкуренции».</w:t>
      </w:r>
    </w:p>
    <w:p>
      <w:pPr>
        <w:pStyle w:val="Style22"/>
        <w:widowControl w:val="false"/>
        <w:tabs>
          <w:tab w:val="left" w:pos="1014" w:leader="none"/>
        </w:tabs>
        <w:ind w:left="40" w:right="20" w:firstLine="740"/>
        <w:rPr>
          <w:sz w:val="28"/>
          <w:szCs w:val="28"/>
          <w:lang w:val="ru-RU"/>
        </w:rPr>
      </w:pPr>
      <w:r>
        <w:rPr>
          <w:color w:val="000000"/>
          <w:sz w:val="28"/>
          <w:szCs w:val="28"/>
          <w:lang w:val="ru-RU"/>
        </w:rPr>
        <w:t>В связи с этим, ключевым фактором оценки эффективности функционирования антимонопольного комплаенса является наличие положительной динамики по снижению количества нарушений антимонопольного законодательства.</w:t>
      </w:r>
    </w:p>
    <w:p>
      <w:pPr>
        <w:pStyle w:val="Style22"/>
        <w:widowControl w:val="false"/>
        <w:tabs>
          <w:tab w:val="left" w:pos="1014" w:leader="none"/>
        </w:tabs>
        <w:ind w:left="20" w:right="20" w:firstLine="680"/>
        <w:rPr>
          <w:sz w:val="28"/>
          <w:szCs w:val="28"/>
          <w:lang w:val="ru-RU"/>
        </w:rPr>
      </w:pPr>
      <w:r>
        <w:rPr>
          <w:color w:val="000000"/>
          <w:sz w:val="28"/>
          <w:szCs w:val="28"/>
          <w:lang w:val="ru-RU"/>
        </w:rPr>
        <w:t>В целях оценки эффективности функционирования антимонопольного комплаенса рассчитываются ключевые показатели  его эффективности (КПЭ).</w:t>
      </w:r>
    </w:p>
    <w:p>
      <w:pPr>
        <w:pStyle w:val="Style22"/>
        <w:widowControl w:val="false"/>
        <w:tabs>
          <w:tab w:val="left" w:pos="1014" w:leader="none"/>
        </w:tabs>
        <w:ind w:left="20" w:right="20" w:firstLine="680"/>
        <w:rPr>
          <w:sz w:val="28"/>
          <w:szCs w:val="28"/>
          <w:lang w:val="ru-RU"/>
        </w:rPr>
      </w:pPr>
      <w:r>
        <w:rPr>
          <w:color w:val="000000"/>
          <w:sz w:val="28"/>
          <w:szCs w:val="28"/>
          <w:lang w:val="ru-RU"/>
        </w:rPr>
        <w:t>Ключевыми показателями эффективности антимонопольного комплаенса в целом являются:</w:t>
      </w:r>
    </w:p>
    <w:p>
      <w:pPr>
        <w:pStyle w:val="Style22"/>
        <w:widowControl w:val="false"/>
        <w:tabs>
          <w:tab w:val="left" w:pos="1039" w:leader="none"/>
        </w:tabs>
        <w:ind w:left="20" w:right="20" w:firstLine="680"/>
        <w:rPr>
          <w:sz w:val="28"/>
          <w:szCs w:val="28"/>
          <w:lang w:val="ru-RU"/>
        </w:rPr>
      </w:pPr>
      <w:r>
        <w:rPr>
          <w:color w:val="000000"/>
          <w:sz w:val="28"/>
          <w:szCs w:val="28"/>
          <w:lang w:val="ru-RU"/>
        </w:rPr>
        <w:t>а)</w:t>
        <w:tab/>
        <w:t>коэффициент снижения количества нарушений антимонопольного законодательства  (по сравнению с 2017 годом);</w:t>
      </w:r>
    </w:p>
    <w:p>
      <w:pPr>
        <w:pStyle w:val="Style22"/>
        <w:widowControl w:val="false"/>
        <w:tabs>
          <w:tab w:val="left" w:pos="1042" w:leader="none"/>
        </w:tabs>
        <w:ind w:left="20" w:right="20" w:firstLine="680"/>
        <w:rPr>
          <w:sz w:val="28"/>
          <w:szCs w:val="28"/>
          <w:lang w:val="ru-RU"/>
        </w:rPr>
      </w:pPr>
      <w:r>
        <w:rPr>
          <w:color w:val="000000"/>
          <w:sz w:val="28"/>
          <w:szCs w:val="28"/>
          <w:lang w:val="ru-RU"/>
        </w:rPr>
        <w:t>б)</w:t>
        <w:tab/>
        <w:t>доля проектов нормативных правовых актов , в которых выявлены риски нарушения антимонопольного законодательства;</w:t>
      </w:r>
    </w:p>
    <w:p>
      <w:pPr>
        <w:pStyle w:val="Style22"/>
        <w:widowControl w:val="false"/>
        <w:tabs>
          <w:tab w:val="left" w:pos="1226" w:leader="none"/>
        </w:tabs>
        <w:ind w:left="20" w:right="20" w:firstLine="680"/>
        <w:rPr>
          <w:sz w:val="28"/>
          <w:szCs w:val="28"/>
          <w:lang w:val="ru-RU"/>
        </w:rPr>
      </w:pPr>
      <w:r>
        <w:rPr>
          <w:color w:val="000000"/>
          <w:sz w:val="28"/>
          <w:szCs w:val="28"/>
          <w:lang w:val="ru-RU"/>
        </w:rPr>
        <w:t>в)</w:t>
        <w:tab/>
        <w:t>доля нормативных правовых актов, в которых выявлены риски нарушения антимонопольного законодательства;</w:t>
      </w:r>
    </w:p>
    <w:p>
      <w:pPr>
        <w:pStyle w:val="Style22"/>
        <w:widowControl w:val="false"/>
        <w:tabs>
          <w:tab w:val="left" w:pos="1226" w:leader="none"/>
        </w:tabs>
        <w:spacing w:lineRule="exact" w:line="306"/>
        <w:ind w:left="20" w:right="40" w:firstLine="680"/>
        <w:rPr>
          <w:sz w:val="28"/>
          <w:szCs w:val="28"/>
          <w:lang w:val="ru-RU"/>
        </w:rPr>
      </w:pPr>
      <w:r>
        <w:rPr>
          <w:color w:val="000000"/>
          <w:sz w:val="28"/>
          <w:szCs w:val="28"/>
          <w:lang w:val="ru-RU"/>
        </w:rPr>
        <w:t>г) доля сотрудников , в отношении которых были проведены обучающие мероприятия по антимонопольному законодательству и антимонопольному комплаенсу.</w:t>
      </w:r>
    </w:p>
    <w:p>
      <w:pPr>
        <w:pStyle w:val="Style22"/>
        <w:widowControl w:val="false"/>
        <w:tabs>
          <w:tab w:val="left" w:pos="1226" w:leader="none"/>
        </w:tabs>
        <w:spacing w:lineRule="exact" w:line="306"/>
        <w:ind w:left="20" w:right="20" w:firstLine="680"/>
        <w:rPr>
          <w:sz w:val="28"/>
          <w:szCs w:val="28"/>
          <w:lang w:val="ru-RU"/>
        </w:rPr>
      </w:pPr>
      <w:r>
        <w:rPr>
          <w:color w:val="000000"/>
          <w:sz w:val="28"/>
          <w:szCs w:val="28"/>
          <w:lang w:val="ru-RU"/>
        </w:rPr>
        <w:t>Ежегодная оценка значения КПЭ «коэффициент снижения количества нарушений антимонопольного законодательства (по сравнению с 2017 годом)» призвана обеспечить понимание об эффективности функционирования антимонопольного комплаенса и о соответствии мероприятий антимонопольного комплаенса направлениям совершенствования государственной политики по развитию конкуренции, установленных Национальным планом.</w:t>
      </w:r>
    </w:p>
    <w:p>
      <w:pPr>
        <w:pStyle w:val="Style22"/>
        <w:widowControl w:val="false"/>
        <w:tabs>
          <w:tab w:val="left" w:pos="1226" w:leader="none"/>
        </w:tabs>
        <w:spacing w:lineRule="exact" w:line="306"/>
        <w:ind w:left="20" w:right="20" w:firstLine="680"/>
        <w:rPr>
          <w:sz w:val="28"/>
          <w:szCs w:val="28"/>
          <w:lang w:val="ru-RU"/>
        </w:rPr>
      </w:pPr>
      <w:r>
        <w:rPr>
          <w:color w:val="000000"/>
          <w:sz w:val="28"/>
          <w:szCs w:val="28"/>
          <w:lang w:val="ru-RU"/>
        </w:rPr>
        <w:t>При эффективном проведении мероприятий по анализу нормативных правовых актов и их проектов на предмет выявления заложенных в них рисков нарушения антимонопольного законодательства (то есть, при высоком значении числителя) должно наблюдаться уменьшение нормативных правовых, в отношении которых антимонопольным органом выявлены нарушения антимонопольного законодательства (то есть, низкое значение знаменателя). Таким образом, значение КПЭ будет тем выше, чем эффективней данные мероприятия антимонопольного комплаенса будут осуществляться уполномоченным подразделением (должностным лицом). И наоборот, при невысоком значении долей нормативных правовых актов и их проектов (числитель) наряду с высоким количеством выявленных антимонопольным органом нарушений антимонопольного законодательства в таких актах (знаменатель), низкие значения КПЭ будут свидетельствовать о низкой эффективности данных мероприятий.</w:t>
      </w:r>
    </w:p>
    <w:p>
      <w:pPr>
        <w:pStyle w:val="Style22"/>
        <w:widowControl w:val="false"/>
        <w:tabs>
          <w:tab w:val="left" w:pos="1226" w:leader="none"/>
        </w:tabs>
        <w:spacing w:lineRule="exact" w:line="306"/>
        <w:ind w:left="20" w:right="20" w:firstLine="740"/>
        <w:rPr>
          <w:sz w:val="28"/>
          <w:szCs w:val="28"/>
          <w:lang w:val="ru-RU"/>
        </w:rPr>
      </w:pPr>
      <w:r>
        <w:rPr>
          <w:color w:val="000000"/>
          <w:sz w:val="28"/>
          <w:szCs w:val="28"/>
          <w:lang w:val="ru-RU"/>
        </w:rPr>
        <w:t xml:space="preserve">Размещение в рамках мероприятий антимонопольного комплаенса на официальном сайте органа исполнительной власти (органов местного самоуправления) в информационно </w:t>
        <w:softHyphen/>
        <w:t xml:space="preserve"> телекоммуникационной сети «Интернет» правовых актов и проектов правовых актов призвано обеспечить возможность получения замечаний и предложений организаций и граждан на такие акты , исходя из оценки влияния таких актов на конкуренцию, на состояние соответствующего товарного рынка, на положение хозяйствующих субъектов и т. д. Размещать рекомендуется все правовые акты.</w:t>
      </w:r>
    </w:p>
    <w:p>
      <w:pPr>
        <w:pStyle w:val="Style22"/>
        <w:widowControl w:val="false"/>
        <w:ind w:left="20" w:right="20" w:firstLine="740"/>
        <w:rPr>
          <w:sz w:val="28"/>
          <w:szCs w:val="28"/>
          <w:lang w:val="ru-RU"/>
        </w:rPr>
      </w:pPr>
      <w:r>
        <w:rPr>
          <w:color w:val="000000"/>
          <w:sz w:val="28"/>
          <w:szCs w:val="28"/>
          <w:lang w:val="ru-RU"/>
        </w:rPr>
        <w:t>Общее количество полученных предложений и замечаний, динамика их поступления, количество учтенных предложений и замечаний — могут являться самостоятельными дополнительными критериями оценки деятельности уполномоченного подразделения.</w:t>
      </w:r>
    </w:p>
    <w:p>
      <w:pPr>
        <w:pStyle w:val="Style22"/>
        <w:widowControl w:val="false"/>
        <w:tabs>
          <w:tab w:val="left" w:pos="1226" w:leader="none"/>
        </w:tabs>
        <w:spacing w:lineRule="exact" w:line="306"/>
        <w:ind w:left="20" w:right="20" w:firstLine="740"/>
        <w:rPr>
          <w:sz w:val="28"/>
          <w:szCs w:val="28"/>
          <w:lang w:val="ru-RU"/>
        </w:rPr>
      </w:pPr>
      <w:r>
        <w:rPr>
          <w:color w:val="000000"/>
          <w:sz w:val="28"/>
          <w:szCs w:val="28"/>
          <w:lang w:val="ru-RU"/>
        </w:rPr>
        <w:t>В случае, если в отчетном периоде отсутствовали нарушения антимонопольного законодательства, либо отсутствовали нормативные правовые акты, в которых антимонопольным органом выявлены нарушения антимонопольного законодательства, значение знаменателя также рекомендуется принимать равным единице.</w:t>
      </w:r>
    </w:p>
    <w:p>
      <w:pPr>
        <w:pStyle w:val="Style22"/>
        <w:widowControl w:val="false"/>
        <w:tabs>
          <w:tab w:val="left" w:pos="1330" w:leader="none"/>
        </w:tabs>
        <w:spacing w:lineRule="exact" w:line="306"/>
        <w:ind w:left="20" w:right="20" w:firstLine="740"/>
        <w:rPr>
          <w:sz w:val="28"/>
          <w:szCs w:val="28"/>
          <w:lang w:val="ru-RU"/>
        </w:rPr>
      </w:pPr>
      <w:r>
        <w:rPr>
          <w:color w:val="000000"/>
          <w:sz w:val="28"/>
          <w:szCs w:val="28"/>
          <w:lang w:val="ru-RU"/>
        </w:rPr>
        <w:t>Не запрещается устанавливать дополнительные ключевые показатели эффективности функционирования антимонопольного комплаенса. На усмотрение  могут быть установлены показатели, характеризующие как работу уполномоченного подразделения, так и органа власти (местного самоуправления) в целом, например: количество проведенных аттестаций, антимонопольных тренингов, количество мероприятий по актуализации принятого акта об антимонопольном комплаенсе, проведение мероприятий по самоконтролю, доля удовлетворенности сотрудников  проведенными обучающими мероприятиями, снижение/повышение количества административных барьеров, выявляемых по результатам мониторинга, предусмотренного стандартом развития конкуренции в субъектах Российской Федерации, и т. д.</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pPr>
      <w:r>
        <w:rPr>
          <w:rFonts w:cs="Times New Roman" w:ascii="Times New Roman" w:hAnsi="Times New Roman"/>
          <w:b/>
          <w:sz w:val="28"/>
          <w:szCs w:val="28"/>
        </w:rPr>
        <w:t>Тема №4</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pPr>
      <w:r>
        <w:rPr>
          <w:rFonts w:ascii="Times New Roman" w:hAnsi="Times New Roman"/>
          <w:b/>
          <w:sz w:val="28"/>
          <w:szCs w:val="28"/>
        </w:rPr>
        <w:t>РЕКОМЕНДАЦИИ</w:t>
      </w:r>
    </w:p>
    <w:p>
      <w:pPr>
        <w:pStyle w:val="Normal"/>
        <w:spacing w:lineRule="auto" w:line="240" w:before="0" w:after="0"/>
        <w:jc w:val="center"/>
        <w:rPr/>
      </w:pPr>
      <w:r>
        <w:rPr>
          <w:rFonts w:eastAsia="Times New Roman" w:cs="Times New Roman" w:ascii="Times New Roman" w:hAnsi="Times New Roman"/>
          <w:b/>
          <w:color w:val="000000"/>
          <w:sz w:val="28"/>
          <w:szCs w:val="28"/>
          <w:lang w:eastAsia="ru-RU"/>
        </w:rPr>
        <w:t>органам исполнительной власти субъектов Российской Федерации и органам местного самоуправления</w:t>
      </w:r>
      <w:r>
        <w:rPr>
          <w:rFonts w:eastAsia="Times New Roman" w:cs="Times New Roman" w:ascii="Times New Roman" w:hAnsi="Times New Roman"/>
          <w:b/>
          <w:color w:val="000000"/>
          <w:sz w:val="28"/>
          <w:szCs w:val="28"/>
          <w:shd w:fill="FFFFFF" w:val="clear"/>
          <w:lang w:eastAsia="ru-RU"/>
        </w:rPr>
        <w:t xml:space="preserve"> о применении комплекса мер, направленных на предотвращение и профилактику нарушений антимонопольного законодательства в сфере наружной рекламы</w:t>
      </w:r>
    </w:p>
    <w:p>
      <w:pPr>
        <w:pStyle w:val="Normal"/>
        <w:spacing w:lineRule="auto" w:line="240" w:before="0" w:after="0"/>
        <w:jc w:val="center"/>
        <w:rPr>
          <w:rFonts w:ascii="Times New Roman" w:hAnsi="Times New Roman" w:eastAsia="Times New Roman" w:cs="Times New Roman"/>
          <w:b/>
          <w:b/>
          <w:color w:val="000000"/>
          <w:sz w:val="28"/>
          <w:szCs w:val="28"/>
          <w:highlight w:val="white"/>
          <w:lang w:eastAsia="ru-RU"/>
        </w:rPr>
      </w:pPr>
      <w:r>
        <w:rPr>
          <w:rFonts w:eastAsia="Times New Roman" w:cs="Times New Roman" w:ascii="Times New Roman" w:hAnsi="Times New Roman"/>
          <w:b/>
          <w:color w:val="000000"/>
          <w:sz w:val="28"/>
          <w:szCs w:val="28"/>
          <w:highlight w:val="white"/>
          <w:lang w:eastAsia="ru-RU"/>
        </w:rPr>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 xml:space="preserve">По итогам анализа ФАС России информации о выявленных антимонопольными органами нарушениях антимонопольного законодательства в действиях органов государственной власти субъектов Российской Федерации и органов власти местного самоуправления в сфере наружной рекламы можно выделить следующие </w:t>
      </w:r>
      <w:r>
        <w:rPr>
          <w:rFonts w:cs="Times New Roman" w:ascii="Times New Roman" w:hAnsi="Times New Roman"/>
          <w:sz w:val="28"/>
          <w:szCs w:val="28"/>
        </w:rPr>
        <w:t>типовые случаи нарушений антимонопольного законодательства в сфере наружной рекламы.</w:t>
      </w:r>
    </w:p>
    <w:p>
      <w:pPr>
        <w:pStyle w:val="Normal"/>
        <w:spacing w:lineRule="auto" w:line="240" w:before="0" w:after="0"/>
        <w:ind w:firstLine="709"/>
        <w:jc w:val="both"/>
        <w:rPr>
          <w:rFonts w:ascii="Times New Roman" w:hAnsi="Times New Roman" w:cs="Times New Roman"/>
          <w:sz w:val="28"/>
          <w:szCs w:val="28"/>
        </w:rPr>
      </w:pPr>
      <w:bookmarkStart w:id="1" w:name="_GoBack1"/>
      <w:bookmarkStart w:id="2" w:name="_GoBack1"/>
      <w:bookmarkEnd w:id="2"/>
      <w:r>
        <w:rPr>
          <w:rFonts w:cs="Times New Roman" w:ascii="Times New Roman" w:hAnsi="Times New Roman"/>
          <w:sz w:val="28"/>
          <w:szCs w:val="28"/>
        </w:rPr>
      </w:r>
    </w:p>
    <w:p>
      <w:pPr>
        <w:pStyle w:val="NormalWeb"/>
        <w:spacing w:before="0" w:after="0"/>
        <w:ind w:firstLine="709"/>
        <w:jc w:val="both"/>
        <w:rPr/>
      </w:pPr>
      <w:r>
        <w:rPr>
          <w:b/>
          <w:sz w:val="28"/>
          <w:szCs w:val="28"/>
        </w:rPr>
        <w:t xml:space="preserve">А) Нарушения статьи 15 </w:t>
      </w:r>
      <w:r>
        <w:rPr>
          <w:b/>
          <w:color w:val="000000"/>
          <w:sz w:val="28"/>
          <w:szCs w:val="28"/>
          <w:shd w:fill="FFFFFF" w:val="clear"/>
        </w:rPr>
        <w:t>Закона о защите конкуренции</w:t>
      </w:r>
    </w:p>
    <w:p>
      <w:pPr>
        <w:pStyle w:val="NormalWeb"/>
        <w:spacing w:before="0" w:after="0"/>
        <w:ind w:firstLine="567"/>
        <w:jc w:val="both"/>
        <w:rPr>
          <w:b/>
          <w:b/>
          <w:color w:val="000000"/>
          <w:sz w:val="28"/>
          <w:szCs w:val="28"/>
          <w:highlight w:val="white"/>
        </w:rPr>
      </w:pPr>
      <w:r>
        <w:rPr>
          <w:b/>
          <w:color w:val="000000"/>
          <w:sz w:val="28"/>
          <w:szCs w:val="28"/>
          <w:highlight w:val="white"/>
        </w:rPr>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1. Н</w:t>
      </w:r>
      <w:r>
        <w:rPr>
          <w:rFonts w:cs="Times New Roman" w:ascii="Times New Roman" w:hAnsi="Times New Roman"/>
          <w:sz w:val="28"/>
          <w:szCs w:val="28"/>
        </w:rPr>
        <w:t xml:space="preserve">аиболее распространенным нарушением является </w:t>
      </w:r>
      <w:r>
        <w:rPr>
          <w:rFonts w:cs="Times New Roman" w:ascii="Times New Roman" w:hAnsi="Times New Roman"/>
          <w:b/>
          <w:i/>
          <w:sz w:val="28"/>
          <w:szCs w:val="28"/>
        </w:rPr>
        <w:t>бездействие органов местного самоуправления, выраженное в не демонтаже незаконно установленных и эксплуатируемых рекламных конструкций (без действующих разрешений и (или) договоров) на подведомственной им территории.</w:t>
      </w:r>
    </w:p>
    <w:p>
      <w:pPr>
        <w:pStyle w:val="Normal"/>
        <w:spacing w:lineRule="auto" w:line="240" w:before="0" w:after="0"/>
        <w:ind w:firstLine="709"/>
        <w:jc w:val="both"/>
        <w:rPr/>
      </w:pPr>
      <w:r>
        <w:rPr>
          <w:rFonts w:cs="Times New Roman" w:ascii="Times New Roman" w:hAnsi="Times New Roman"/>
          <w:sz w:val="28"/>
          <w:szCs w:val="28"/>
        </w:rPr>
        <w:t xml:space="preserve"> </w:t>
      </w:r>
      <w:r>
        <w:rPr>
          <w:rFonts w:eastAsia="Times New Roman" w:cs="Times New Roman" w:ascii="Times New Roman" w:hAnsi="Times New Roman"/>
          <w:sz w:val="28"/>
          <w:szCs w:val="28"/>
          <w:lang w:eastAsia="ru-RU"/>
        </w:rPr>
        <w:t>Установка и эксплуатация рекламной конструкции без разрешения, срок действия которого не истёк, не допускаются согласно части 10 статьи 19 Закона о рекламе. При этом данная же норма определяет последствия выявления конструкции, установленной и эксплуатируемой без соответствующего разрешения — такая конструкция подлежит демонтажу на основании предписания органа местного самоуправления муниципального района или органа местного самоуправления городского округа, на территориях которых установлена рекламная конструкция.</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xml:space="preserve">При этом выдача предписания о демонтаже рекламной конструкции, установленной и эксплуатируемой в отсутствие разрешения на установку и эксплуатацию рекламной конструкции, срок действия которого не истёк, а также демонтаж рекламной конструкции, в случае, установленном Законом о рекламе, является </w:t>
      </w:r>
      <w:r>
        <w:rPr>
          <w:rFonts w:eastAsia="Times New Roman" w:cs="Times New Roman" w:ascii="Times New Roman" w:hAnsi="Times New Roman"/>
          <w:b/>
          <w:bCs/>
          <w:sz w:val="28"/>
          <w:szCs w:val="28"/>
          <w:lang w:eastAsia="ru-RU"/>
        </w:rPr>
        <w:t>обязанностью</w:t>
      </w:r>
      <w:r>
        <w:rPr>
          <w:rFonts w:eastAsia="Times New Roman" w:cs="Times New Roman" w:ascii="Times New Roman" w:hAnsi="Times New Roman"/>
          <w:sz w:val="28"/>
          <w:szCs w:val="28"/>
          <w:lang w:eastAsia="ru-RU"/>
        </w:rPr>
        <w:t xml:space="preserve">, а не правом органа местного самоуправления. </w:t>
      </w:r>
    </w:p>
    <w:p>
      <w:pPr>
        <w:pStyle w:val="Normal"/>
        <w:spacing w:lineRule="auto" w:line="240" w:before="0" w:after="0"/>
        <w:ind w:firstLine="709"/>
        <w:jc w:val="both"/>
        <w:rPr/>
      </w:pPr>
      <w:r>
        <w:rPr>
          <w:rFonts w:eastAsia="Times New Roman" w:cs="Times New Roman" w:ascii="Times New Roman" w:hAnsi="Times New Roman"/>
          <w:sz w:val="28"/>
          <w:szCs w:val="28"/>
          <w:shd w:fill="FFFFFF" w:val="clear"/>
          <w:lang w:eastAsia="ru-RU"/>
        </w:rPr>
        <w:t>Неисполнение указанной обязанности органом местного самоуправления, может подпадать под признаки нарушения части 1 статьи 15 Закона о защите конкуренции.</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Части 10, 21, 21.1, 21.2, 21.3 статьи 19 Закона о рекламе предусматривают действия органов местного самоуправления в случае выявления рекламной конструкции, установленной и эксплуатируемой без разрешения, срок действия которого не истёк, а также действия органа местного самоуправления, если владелец рекламной конструкции, установленной и эксплуатируемой без действующего разрешения, не выполнит предписание органа местного самоуправления.</w:t>
      </w:r>
    </w:p>
    <w:p>
      <w:pPr>
        <w:pStyle w:val="Normal"/>
        <w:spacing w:lineRule="auto" w:line="240" w:before="0" w:after="0"/>
        <w:ind w:firstLine="709"/>
        <w:jc w:val="both"/>
        <w:rPr/>
      </w:pPr>
      <w:r>
        <w:rPr>
          <w:rFonts w:eastAsia="Times New Roman" w:cs="Times New Roman" w:ascii="Times New Roman" w:hAnsi="Times New Roman"/>
          <w:color w:val="000000"/>
          <w:sz w:val="28"/>
          <w:szCs w:val="28"/>
          <w:shd w:fill="FFFFFF" w:val="clear"/>
          <w:lang w:eastAsia="ru-RU"/>
        </w:rPr>
        <w:t xml:space="preserve">При отсутствии разрешения на установку и эксплуатацию рекламной конструкции, такая рекламная конструкция должна быть демонтирована, в том числе в порядке, предусмотренном частями 10, 21, 21.1, 21.2, 21.3 статьи 19 </w:t>
      </w:r>
      <w:r>
        <w:rPr>
          <w:rFonts w:eastAsia="Times New Roman" w:cs="Times New Roman" w:ascii="Times New Roman" w:hAnsi="Times New Roman"/>
          <w:sz w:val="28"/>
          <w:szCs w:val="28"/>
          <w:lang w:eastAsia="ru-RU"/>
        </w:rPr>
        <w:t>Закона о рекламе</w:t>
      </w:r>
      <w:r>
        <w:rPr>
          <w:rFonts w:eastAsia="Times New Roman" w:cs="Times New Roman" w:ascii="Times New Roman" w:hAnsi="Times New Roman"/>
          <w:color w:val="000000"/>
          <w:sz w:val="28"/>
          <w:szCs w:val="28"/>
          <w:shd w:fill="FFFFFF" w:val="clear"/>
          <w:lang w:eastAsia="ru-RU"/>
        </w:rPr>
        <w:t>.</w:t>
      </w:r>
    </w:p>
    <w:p>
      <w:pPr>
        <w:pStyle w:val="Normal"/>
        <w:spacing w:lineRule="auto" w:line="240" w:before="0" w:after="0"/>
        <w:ind w:firstLine="709"/>
        <w:jc w:val="both"/>
        <w:rPr>
          <w:sz w:val="28"/>
          <w:szCs w:val="28"/>
        </w:rPr>
      </w:pPr>
      <w:r>
        <w:rPr>
          <w:rFonts w:eastAsia="Times New Roman" w:cs="Times New Roman" w:ascii="Times New Roman" w:hAnsi="Times New Roman"/>
          <w:color w:val="000000"/>
          <w:sz w:val="28"/>
          <w:szCs w:val="28"/>
          <w:lang w:eastAsia="ru-RU"/>
        </w:rPr>
        <w:t xml:space="preserve">Таким образом, в </w:t>
      </w:r>
      <w:r>
        <w:rPr>
          <w:rFonts w:eastAsia="Times New Roman" w:cs="Times New Roman" w:ascii="Times New Roman" w:hAnsi="Times New Roman"/>
          <w:color w:val="000000"/>
          <w:sz w:val="28"/>
          <w:szCs w:val="28"/>
          <w:shd w:fill="FFFFFF" w:val="clear"/>
          <w:lang w:eastAsia="ru-RU"/>
        </w:rPr>
        <w:t xml:space="preserve">бездействии </w:t>
      </w:r>
      <w:r>
        <w:rPr>
          <w:rFonts w:cs="Times New Roman" w:ascii="Times New Roman" w:hAnsi="Times New Roman"/>
          <w:sz w:val="28"/>
          <w:szCs w:val="28"/>
        </w:rPr>
        <w:t>органов местного самоуправления муниципальных районов или городских округов содержатся признаки нарушения части 1 статьи 15 Закона о защите конкуренции</w:t>
      </w:r>
      <w:r>
        <w:rPr>
          <w:rFonts w:eastAsia="Times New Roman" w:cs="Times New Roman" w:ascii="Times New Roman" w:hAnsi="Times New Roman"/>
          <w:color w:val="000000"/>
          <w:sz w:val="28"/>
          <w:szCs w:val="28"/>
          <w:lang w:eastAsia="ru-RU"/>
        </w:rPr>
        <w:t xml:space="preserve">, выразившиеся в </w:t>
      </w:r>
      <w:r>
        <w:rPr>
          <w:rFonts w:eastAsia="Times New Roman" w:cs="Times New Roman" w:ascii="Times New Roman" w:hAnsi="Times New Roman"/>
          <w:color w:val="000000"/>
          <w:sz w:val="28"/>
          <w:szCs w:val="28"/>
          <w:shd w:fill="FFFFFF" w:val="clear"/>
          <w:lang w:eastAsia="ru-RU"/>
        </w:rPr>
        <w:t>неисполнении обязанности по осуществлению действий по демонтажу рекламных конструкций, установленных и эксплуатируемых без действующего разрешения</w:t>
      </w:r>
      <w:r>
        <w:rPr>
          <w:rFonts w:eastAsia="Times New Roman" w:cs="Times New Roman" w:ascii="Times New Roman" w:hAnsi="Times New Roman"/>
          <w:color w:val="000000"/>
          <w:sz w:val="28"/>
          <w:szCs w:val="28"/>
          <w:lang w:eastAsia="ru-RU"/>
        </w:rPr>
        <w:t>.</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pPr>
      <w:r>
        <w:rPr>
          <w:rFonts w:cs="Times New Roman" w:ascii="Times New Roman" w:hAnsi="Times New Roman"/>
          <w:sz w:val="28"/>
          <w:szCs w:val="28"/>
        </w:rPr>
        <w:t>2. Вместе с тем, на территории муниципальных образований и</w:t>
      </w:r>
      <w:r>
        <w:rPr>
          <w:rFonts w:eastAsia="Times New Roman" w:cs="Times New Roman" w:ascii="Times New Roman" w:hAnsi="Times New Roman"/>
          <w:sz w:val="28"/>
          <w:szCs w:val="28"/>
        </w:rPr>
        <w:t xml:space="preserve">меют место случаи </w:t>
      </w:r>
      <w:r>
        <w:rPr>
          <w:rFonts w:cs="Times New Roman" w:ascii="Times New Roman" w:hAnsi="Times New Roman"/>
          <w:b/>
          <w:i/>
          <w:sz w:val="28"/>
          <w:szCs w:val="28"/>
        </w:rPr>
        <w:t>несоответствия установки рекламной конструкции в данном месте схеме размещения рекламных конструкций</w:t>
      </w:r>
      <w:r>
        <w:rPr>
          <w:rFonts w:cs="Times New Roman" w:ascii="Times New Roman" w:hAnsi="Times New Roman"/>
          <w:sz w:val="28"/>
          <w:szCs w:val="28"/>
        </w:rPr>
        <w:t xml:space="preserve"> (в случае, если место установки рекламной конструкции в соответствии с частью 5.8 статьи 19 Закона о рекламе определяется схемой размещения рекламных конструкций).</w:t>
      </w:r>
    </w:p>
    <w:p>
      <w:pPr>
        <w:pStyle w:val="Normal"/>
        <w:spacing w:lineRule="auto" w:line="240" w:before="0" w:after="0"/>
        <w:ind w:firstLine="709"/>
        <w:jc w:val="both"/>
        <w:rPr/>
      </w:pPr>
      <w:r>
        <w:rPr>
          <w:rFonts w:cs="Times New Roman" w:ascii="Times New Roman" w:hAnsi="Times New Roman"/>
          <w:sz w:val="28"/>
          <w:szCs w:val="28"/>
        </w:rPr>
        <w:t xml:space="preserve">Так, согласно пункту 3 части 20 статьи 19 Закона о рекламе в случае несоответствия установки рекламной конструкции в данном месте схеме размещения рекламных конструкций (в случае, если место установки рекламной конструкции в соответствии с частью 5.8 настоящей статьи определяется схемой размещения рекламных конструкций) разрешение может быть признано недействительным в судебном порядке по иску органа местного самоуправления. </w:t>
      </w:r>
    </w:p>
    <w:p>
      <w:pPr>
        <w:pStyle w:val="Normal"/>
        <w:spacing w:lineRule="auto" w:line="240" w:before="0" w:after="0"/>
        <w:ind w:firstLine="709"/>
        <w:jc w:val="both"/>
        <w:rPr/>
      </w:pPr>
      <w:r>
        <w:rPr>
          <w:rFonts w:cs="Times New Roman" w:ascii="Times New Roman" w:hAnsi="Times New Roman"/>
          <w:sz w:val="28"/>
          <w:szCs w:val="28"/>
        </w:rPr>
        <w:t>Таким образом, бездействие органов местного самоуправления муниципальных районов или городских округов, выразившееся в не осуществлении действий, направленных на признание разрешений на установку и эксплуатацию указанных рекламных конструкций недействительными может повлечь за собой необоснованное препятствование осуществлению деятельности хозяйствующими           субъектами — владельцами рекламных конструкций, установленных на территории муниципального образования на местах, включенных в соответствующую Схему.</w:t>
      </w:r>
    </w:p>
    <w:p>
      <w:pPr>
        <w:pStyle w:val="Normal"/>
        <w:spacing w:lineRule="auto" w:line="240" w:before="0" w:after="0"/>
        <w:ind w:firstLine="709"/>
        <w:jc w:val="both"/>
        <w:rPr/>
      </w:pPr>
      <w:r>
        <w:rPr>
          <w:rFonts w:cs="Times New Roman" w:ascii="Times New Roman" w:hAnsi="Times New Roman"/>
          <w:sz w:val="28"/>
          <w:szCs w:val="28"/>
        </w:rPr>
        <w:t xml:space="preserve">Учитывая изложенное, в бездействии органов местного самоуправления муниципальных районов или городских округов содержатся признаки нарушения части 1 статьи 15 Закона о защите конкуренции, выразившиеся в неосуществлении действий, направленных на признание разрешений на установку и эксплуатацию указанных рекламных конструкций недействительными. </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pPr>
      <w:r>
        <w:rPr>
          <w:rFonts w:cs="Times New Roman" w:ascii="Times New Roman" w:hAnsi="Times New Roman"/>
          <w:sz w:val="28"/>
          <w:szCs w:val="28"/>
        </w:rPr>
        <w:t xml:space="preserve">3. Также антимонопольными органами фиксируются случаи </w:t>
      </w:r>
      <w:r>
        <w:rPr>
          <w:rFonts w:cs="Times New Roman" w:ascii="Times New Roman" w:hAnsi="Times New Roman"/>
          <w:b/>
          <w:i/>
          <w:sz w:val="28"/>
          <w:szCs w:val="28"/>
        </w:rPr>
        <w:t>установки и эксплуатации рекламных конструкций с разрешениями на установку и эксплуатацию таких конструкций на территории муниципального образования, не включенных в Схему размещения рекламных конструкций</w:t>
      </w:r>
      <w:r>
        <w:rPr>
          <w:rFonts w:cs="Times New Roman" w:ascii="Times New Roman" w:hAnsi="Times New Roman"/>
          <w:sz w:val="28"/>
          <w:szCs w:val="28"/>
        </w:rPr>
        <w:t>.</w:t>
      </w:r>
    </w:p>
    <w:p>
      <w:pPr>
        <w:pStyle w:val="Normal"/>
        <w:spacing w:lineRule="auto" w:line="240" w:before="0" w:after="0"/>
        <w:ind w:firstLine="709"/>
        <w:jc w:val="both"/>
        <w:rPr/>
      </w:pPr>
      <w:r>
        <w:rPr>
          <w:rFonts w:cs="Times New Roman" w:ascii="Times New Roman" w:hAnsi="Times New Roman"/>
          <w:sz w:val="28"/>
          <w:szCs w:val="28"/>
        </w:rPr>
        <w:t>По мнению ФАС России, бездействие органов местного самоуправления муниципального района или городского округа, выразившееся в не осуществлении действий, направленных на включение в Схему рекламных конструкций, установленных на территории муниципального района или городского округа на основании выданных разрешений может повлечь за собой необоснованное препятствование осуществлению деятельности хозяйствующими субъектами — владельцами рекламных конструкций, установленных на территории муниципального района или городского округа и включенных в Схему.</w:t>
      </w:r>
    </w:p>
    <w:p>
      <w:pPr>
        <w:pStyle w:val="Normal"/>
        <w:spacing w:lineRule="auto" w:line="240" w:before="0" w:after="0"/>
        <w:ind w:firstLine="709"/>
        <w:jc w:val="both"/>
        <w:rPr/>
      </w:pPr>
      <w:r>
        <w:rPr>
          <w:rFonts w:cs="Times New Roman" w:ascii="Times New Roman" w:hAnsi="Times New Roman"/>
          <w:sz w:val="28"/>
          <w:szCs w:val="28"/>
        </w:rPr>
        <w:t>Так, владельцы рекламных конструкций, включенных в Схему, в результате указанного бездействия органов местного самоуправления муниципального района или городского округа не могут полноценно осуществлять свою хозяйственную деятельность в рыночных условиях, так как не располагают информацией о местах установки рекламных конструкций компаний-конкурентов, не включенных в Схему, установленных на землях на территории муниципального образования, об их количестве на рынке, о проводимых ими рекламных кампаниях, о ценовой политике и др., и, следовательно, не могут спланировать проведение своих рекламных кампаний, вследствие чего несут необоснованные убытки.</w:t>
      </w:r>
    </w:p>
    <w:p>
      <w:pPr>
        <w:pStyle w:val="Normal"/>
        <w:spacing w:lineRule="auto" w:line="240" w:before="0" w:after="0"/>
        <w:ind w:firstLine="709"/>
        <w:jc w:val="both"/>
        <w:rPr/>
      </w:pPr>
      <w:r>
        <w:rPr>
          <w:rFonts w:cs="Times New Roman" w:ascii="Times New Roman" w:hAnsi="Times New Roman"/>
          <w:sz w:val="28"/>
          <w:szCs w:val="28"/>
        </w:rPr>
        <w:t>Владельцы рекламных конструкций, установленных на землях муниципального образования и не внесенных в Схему, получают необоснованные преимущества для осуществления своей хозяйственной деятельности на рынке.</w:t>
      </w:r>
    </w:p>
    <w:p>
      <w:pPr>
        <w:pStyle w:val="Normal"/>
        <w:spacing w:lineRule="auto" w:line="240" w:before="0" w:after="0"/>
        <w:ind w:firstLine="709"/>
        <w:jc w:val="both"/>
        <w:rPr/>
      </w:pPr>
      <w:r>
        <w:rPr>
          <w:rFonts w:cs="Times New Roman" w:ascii="Times New Roman" w:hAnsi="Times New Roman"/>
          <w:sz w:val="28"/>
          <w:szCs w:val="28"/>
        </w:rPr>
        <w:t>Так, владельцы рекламных конструкций, установленных и эксплуатируемых в соответствии с разрешениями на территории муниципального образования и не включенных в Схему, установленные в непосредственной близости от рекламных конструкций компаний, включенных в Схему, обладают информацией об их владельцах, о ценах за размещение рекламы на таких конструкциях, что может повлечь за собой недобросовестную ценовую конкуренцию с их стороны.</w:t>
      </w:r>
    </w:p>
    <w:p>
      <w:pPr>
        <w:pStyle w:val="Normal"/>
        <w:spacing w:lineRule="auto" w:line="240" w:before="0" w:after="0"/>
        <w:ind w:firstLine="709"/>
        <w:jc w:val="both"/>
        <w:rPr>
          <w:sz w:val="28"/>
          <w:szCs w:val="28"/>
        </w:rPr>
      </w:pPr>
      <w:r>
        <w:rPr>
          <w:rFonts w:eastAsia="Times New Roman" w:cs="Times New Roman" w:ascii="Times New Roman" w:hAnsi="Times New Roman"/>
          <w:color w:val="000000"/>
          <w:sz w:val="28"/>
          <w:szCs w:val="28"/>
          <w:lang w:eastAsia="ru-RU"/>
        </w:rPr>
        <w:t>Учитывая изложенное, ФАС России усматривает в бездействии органов местного самоуправления муниципального района или городского округа, выразившемся в неосуществлении действий, направленных на включение в Схему рекламных конструкции, установленных в соответствии с разрешениями на землях на территории муниципального образования признаки нарушения части 1 статьи 15 Закона о защите конкуренции.</w:t>
      </w:r>
    </w:p>
    <w:p>
      <w:pPr>
        <w:pStyle w:val="Normal"/>
        <w:spacing w:lineRule="auto" w:line="240" w:before="0" w:after="0"/>
        <w:ind w:firstLine="70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xml:space="preserve">4. Также часто выявляемым в действиях (бездействии) </w:t>
      </w:r>
      <w:r>
        <w:rPr>
          <w:rFonts w:cs="Times New Roman" w:ascii="Times New Roman" w:hAnsi="Times New Roman"/>
          <w:sz w:val="28"/>
          <w:szCs w:val="28"/>
        </w:rPr>
        <w:t xml:space="preserve">органов местного самоуправления </w:t>
      </w:r>
      <w:r>
        <w:rPr>
          <w:rFonts w:eastAsia="Times New Roman" w:cs="Times New Roman" w:ascii="Times New Roman" w:hAnsi="Times New Roman"/>
          <w:sz w:val="28"/>
          <w:szCs w:val="28"/>
          <w:lang w:eastAsia="ru-RU"/>
        </w:rPr>
        <w:t xml:space="preserve">нарушением </w:t>
      </w:r>
      <w:r>
        <w:rPr>
          <w:rFonts w:cs="Times New Roman" w:ascii="Times New Roman" w:hAnsi="Times New Roman"/>
          <w:sz w:val="28"/>
          <w:szCs w:val="28"/>
        </w:rPr>
        <w:t>антимонопольного законодательства в сфере наружной рекламы</w:t>
      </w:r>
      <w:r>
        <w:rPr>
          <w:rFonts w:eastAsia="Times New Roman" w:cs="Times New Roman" w:ascii="Times New Roman" w:hAnsi="Times New Roman"/>
          <w:sz w:val="28"/>
          <w:szCs w:val="28"/>
          <w:lang w:eastAsia="ru-RU"/>
        </w:rPr>
        <w:t xml:space="preserve">, </w:t>
      </w:r>
      <w:r>
        <w:rPr>
          <w:rFonts w:cs="Times New Roman" w:ascii="Times New Roman" w:hAnsi="Times New Roman"/>
          <w:sz w:val="28"/>
          <w:szCs w:val="28"/>
        </w:rPr>
        <w:t xml:space="preserve">является </w:t>
      </w:r>
      <w:r>
        <w:rPr>
          <w:rFonts w:eastAsia="Times New Roman" w:cs="Times New Roman" w:ascii="Times New Roman" w:hAnsi="Times New Roman"/>
          <w:b/>
          <w:i/>
          <w:sz w:val="28"/>
          <w:szCs w:val="28"/>
          <w:lang w:eastAsia="ru-RU"/>
        </w:rPr>
        <w:t>предоставление места для размещения и эксплуатации рекламной конструкции для размещения рекламы конкретному хозяйствующему субъекту без проведения конкурентных процедур</w:t>
      </w:r>
      <w:r>
        <w:rPr>
          <w:rFonts w:eastAsia="Times New Roman" w:cs="Times New Roman" w:ascii="Times New Roman" w:hAnsi="Times New Roman"/>
          <w:sz w:val="28"/>
          <w:szCs w:val="28"/>
          <w:lang w:eastAsia="ru-RU"/>
        </w:rPr>
        <w:t>.</w:t>
      </w:r>
    </w:p>
    <w:p>
      <w:pPr>
        <w:pStyle w:val="Normal"/>
        <w:spacing w:lineRule="auto" w:line="240" w:before="0" w:after="0"/>
        <w:ind w:firstLine="709"/>
        <w:jc w:val="both"/>
        <w:rPr/>
      </w:pPr>
      <w:r>
        <w:rPr>
          <w:rFonts w:cs="Times New Roman" w:ascii="Times New Roman" w:hAnsi="Times New Roman"/>
          <w:sz w:val="28"/>
          <w:szCs w:val="28"/>
        </w:rPr>
        <w:t>Одной из целей законодательства Российской Федерации о рекламе является развитие рынков товаров, работ и услуг на основе соблюдения принципов добросовестной конкуренции (статья 1 Закона о рекламе).</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В силу части 5.1 статьи 19 Закона о рекламе заключение договора на установку и эксплуатацию рекламной конструкции на земельном участке, здании или ином недвижимом имуществе, находящемся в государственной или муниципальной собственности, осуществляется исключительно на основе торгов (в форме аукциона или конкурса), проводимых органами государственной власти, органами местного самоуправления или уполномоченными ими организациями в соответствии с законодательством Российской Федерации.</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П</w:t>
      </w:r>
      <w:r>
        <w:rPr>
          <w:rFonts w:eastAsia="Times New Roman" w:cs="Times New Roman" w:ascii="Times New Roman" w:hAnsi="Times New Roman"/>
          <w:color w:val="000000"/>
          <w:sz w:val="28"/>
          <w:szCs w:val="28"/>
          <w:shd w:fill="FFFFFF" w:val="clear"/>
          <w:lang w:eastAsia="ru-RU"/>
        </w:rPr>
        <w:t>роцедура проведения торгов на право установки и эксплуатации рекламных конструкций, предусмотренная законодательством Российской Федерации о рекламе, направлена на развитие и поддержание рыночной экономики и конкурентных отношений в сфере наружной рекламы на территории регионов Российской Федерации, обеспечивает недискриминационные (равные) условия доступа всех участников экономических отношений, осуществляющих предпринимательскую деятельность в сфере наружной рекламы, снижает барьеры входа в данную сферу экономической деятельности  и вероятность создания в данном секторе экономики региона Российской Федерации условий недопущения, ограничения, устранения конкуренции.</w:t>
      </w:r>
    </w:p>
    <w:p>
      <w:pPr>
        <w:pStyle w:val="Normal"/>
        <w:spacing w:lineRule="auto" w:line="240" w:before="0" w:after="0"/>
        <w:ind w:firstLine="709"/>
        <w:jc w:val="both"/>
        <w:rPr/>
      </w:pPr>
      <w:r>
        <w:rPr>
          <w:rFonts w:eastAsia="Times New Roman" w:cs="Times New Roman" w:ascii="Times New Roman" w:hAnsi="Times New Roman"/>
          <w:color w:val="000000"/>
          <w:sz w:val="28"/>
          <w:szCs w:val="28"/>
          <w:shd w:fill="FFFFFF" w:val="clear"/>
          <w:lang w:eastAsia="ru-RU"/>
        </w:rPr>
        <w:t xml:space="preserve">Проведение органами местного самоуправления или уполномоченными ими организациями в соответствии с законодательством Российской Федерации торгов на право установки и эксплуатации рекламных конструкций </w:t>
      </w:r>
      <w:r>
        <w:rPr>
          <w:rFonts w:eastAsia="Times New Roman" w:cs="Times New Roman" w:ascii="Times New Roman" w:hAnsi="Times New Roman"/>
          <w:color w:val="020C22"/>
          <w:sz w:val="28"/>
          <w:szCs w:val="28"/>
          <w:shd w:fill="FFFFFF" w:val="clear"/>
          <w:lang w:eastAsia="ru-RU"/>
        </w:rPr>
        <w:t>повышает экономическую эффективность и конкурентоспособность хозяйствующих субъектов</w:t>
      </w:r>
      <w:r>
        <w:rPr>
          <w:rFonts w:eastAsia="Times New Roman" w:cs="Times New Roman" w:ascii="Times New Roman" w:hAnsi="Times New Roman"/>
          <w:color w:val="000000"/>
          <w:sz w:val="28"/>
          <w:szCs w:val="28"/>
          <w:shd w:fill="FFFFFF" w:val="clear"/>
          <w:lang w:eastAsia="ru-RU"/>
        </w:rPr>
        <w:t xml:space="preserve">, </w:t>
      </w:r>
      <w:r>
        <w:rPr>
          <w:rFonts w:eastAsia="Times New Roman" w:cs="Times New Roman" w:ascii="Times New Roman" w:hAnsi="Times New Roman"/>
          <w:color w:val="000000"/>
          <w:sz w:val="28"/>
          <w:szCs w:val="28"/>
          <w:lang w:eastAsia="ru-RU"/>
        </w:rPr>
        <w:t>обеспечивает развитие и поддержание достигнутого уровня конкуренции на местном региональном уровне, а также способствует экономическому развитию всего муниципального образования.</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 xml:space="preserve">Учитывая изложенное, действия </w:t>
      </w:r>
      <w:r>
        <w:rPr>
          <w:rFonts w:eastAsia="Times New Roman" w:cs="Times New Roman" w:ascii="Times New Roman" w:hAnsi="Times New Roman"/>
          <w:sz w:val="28"/>
          <w:szCs w:val="28"/>
          <w:lang w:eastAsia="ru-RU"/>
        </w:rPr>
        <w:t>органов местного самоуправления по предоставлению мест на земельном участке, здании или ином недвижимом имуществе, находящемся в государственной или муниципальной собственности, для установки и эксплуатации рекламной конструкции в целях размещения рекламы конкретному хозяйствующему субъекту без проведения конкурентных процедур будут содержать признаки нарушения части 1 статьи 15 Закона о защите конкуренции.</w:t>
      </w:r>
    </w:p>
    <w:p>
      <w:pPr>
        <w:pStyle w:val="Normal"/>
        <w:spacing w:lineRule="auto" w:line="240" w:before="0" w:after="0"/>
        <w:ind w:firstLine="709"/>
        <w:jc w:val="both"/>
        <w:rPr/>
      </w:pPr>
      <w:r>
        <w:rPr>
          <w:rFonts w:cs="Times New Roman" w:ascii="Times New Roman" w:hAnsi="Times New Roman"/>
          <w:sz w:val="28"/>
          <w:szCs w:val="28"/>
        </w:rPr>
        <w:t xml:space="preserve">В соответствии с частью 5.6 статьи 19 Закона о рекламе аукцион или конкурс на заключение договора на установку и эксплуатацию рекламной конструкции на земельном участке, здании или ином недвижимом имуществе, которое находится в государственной или муниципальной собственности и на котором на основании договора между соответственно органом государственной власти, органом местного самоуправления и владельцем рекламной конструкции установлена рекламная конструкция, </w:t>
      </w:r>
      <w:r>
        <w:rPr>
          <w:rFonts w:cs="Times New Roman" w:ascii="Times New Roman" w:hAnsi="Times New Roman"/>
          <w:b/>
          <w:sz w:val="28"/>
          <w:szCs w:val="28"/>
        </w:rPr>
        <w:t>проводится по истечении срока действия договора на установку и эксплуатацию рекламной конструкции</w:t>
      </w:r>
      <w:r>
        <w:rPr>
          <w:rFonts w:cs="Times New Roman" w:ascii="Times New Roman" w:hAnsi="Times New Roman"/>
          <w:sz w:val="28"/>
          <w:szCs w:val="28"/>
        </w:rPr>
        <w:t>.</w:t>
      </w:r>
    </w:p>
    <w:p>
      <w:pPr>
        <w:pStyle w:val="Normal"/>
        <w:spacing w:lineRule="auto" w:line="240" w:before="0" w:after="0"/>
        <w:ind w:firstLine="709"/>
        <w:jc w:val="both"/>
        <w:rPr/>
      </w:pPr>
      <w:r>
        <w:rPr>
          <w:rFonts w:cs="Times New Roman" w:ascii="Times New Roman" w:hAnsi="Times New Roman"/>
          <w:sz w:val="28"/>
          <w:szCs w:val="28"/>
        </w:rPr>
        <w:t>При этом в соответствии с пунктом 2 статьи 448 Гражданского кодекса Российской Федерации если иное не предусмотрено законом, извещение о проведении торгов должно быть опубликовано организатором не позднее чем за тридцать дней до их проведения. Извещение должно содержать сведения о времени, месте и форме торгов, об их предмете, о существующих обременениях продаваемого имущества и о порядке проведения торгов, в том числе об оформлении участия в торгах, определении лица, выигравшего торги, а также сведения о начальной цене.</w:t>
      </w:r>
    </w:p>
    <w:p>
      <w:pPr>
        <w:pStyle w:val="Normal"/>
        <w:spacing w:lineRule="auto" w:line="240" w:before="0" w:after="0"/>
        <w:ind w:firstLine="709"/>
        <w:jc w:val="both"/>
        <w:rPr/>
      </w:pPr>
      <w:r>
        <w:rPr>
          <w:rFonts w:cs="Times New Roman" w:ascii="Times New Roman" w:hAnsi="Times New Roman"/>
          <w:sz w:val="28"/>
          <w:szCs w:val="28"/>
        </w:rPr>
        <w:t xml:space="preserve">Таким образом, исходя из совокупного анализа положений Закона о рекламе, а также Гражданского кодекса Российской Федерации, подготовка к проведению торгов на заключение договора на установку и эксплуатацию рекламной конструкции, в том числе размещение извещения о проведении торгов, может осуществляться до истечения срока действия договора на установку и эксплуатацию рекламной конструкции, но таким образом, чтобы непосредственно проведение торгов (определение победителя торгов) осуществлялось не ранее чем по истечении срока действия договора на установку и эксплуатацию рекламной конструкции. </w:t>
      </w:r>
    </w:p>
    <w:p>
      <w:pPr>
        <w:pStyle w:val="Normal"/>
        <w:spacing w:lineRule="auto" w:line="240" w:before="0" w:after="0"/>
        <w:ind w:firstLine="709"/>
        <w:jc w:val="both"/>
        <w:rPr/>
      </w:pPr>
      <w:r>
        <w:rPr>
          <w:rFonts w:cs="Times New Roman" w:ascii="Times New Roman" w:hAnsi="Times New Roman"/>
          <w:sz w:val="28"/>
          <w:szCs w:val="28"/>
        </w:rPr>
        <w:t>Стоит обратить внимание, что в гражданском законодательстве Российской Федерации под обременением имущества собственника понимается наличие законных прав на имущество собственника, правомерное владение и пользование третьими лицами имуществом собственника (см., например, статью 8.1 Гражданского кодекса Российской Федерации, пункт 61 постановления Пленума Верховного Суда Российской Федерации от 17.11.2015 № 50 «О применении судами законодательства при рассмотрении некоторых вопросов, возникающих в ходе исполнительного производства»). При этом, в силу части 1 статьи 460 Гражданского кодекса Российской Федерации продавец обязан передать покупателю товар свободным от любых прав третьих лиц, за исключением случая, когда покупатель согласился принять товар, обременённый правами третьих лиц.</w:t>
      </w:r>
    </w:p>
    <w:p>
      <w:pPr>
        <w:pStyle w:val="Normal"/>
        <w:spacing w:lineRule="auto" w:line="240" w:before="0" w:after="0"/>
        <w:ind w:firstLine="709"/>
        <w:jc w:val="both"/>
        <w:rPr/>
      </w:pPr>
      <w:r>
        <w:rPr>
          <w:rFonts w:cs="Times New Roman" w:ascii="Times New Roman" w:hAnsi="Times New Roman"/>
          <w:sz w:val="28"/>
          <w:szCs w:val="28"/>
        </w:rPr>
        <w:t xml:space="preserve">Следовательно, по мнению ФАС России, в случае осуществления подготовки к проведению торгов на заключение договора на установку и эксплуатацию рекламной конструкции и размещения извещения о проведении торгов на местах, в отношении которых действуют договоры на установку и эксплуатацию рекламной конструкции и выданы соответствующие разрешения (с целью непосредственно проведения торгов по истечении срока действия договора на установку и эксплуатацию рекламной конструкции), организатор торгов в извещении о проведении торгов должен указать информацию о наличии таких договоров и разрешений как о существующих обременениях данного имущества в соответствии с пунктом 2 статьи 448 Гражданского кодекса Российской Федерации. </w:t>
      </w:r>
    </w:p>
    <w:p>
      <w:pPr>
        <w:pStyle w:val="Normal"/>
        <w:spacing w:lineRule="auto" w:line="240" w:before="0" w:after="0"/>
        <w:ind w:firstLine="709"/>
        <w:jc w:val="both"/>
        <w:rPr/>
      </w:pPr>
      <w:r>
        <w:rPr>
          <w:rFonts w:cs="Times New Roman" w:ascii="Times New Roman" w:hAnsi="Times New Roman"/>
          <w:sz w:val="28"/>
          <w:szCs w:val="28"/>
        </w:rPr>
        <w:t>В силу пункта 71 постановления Пленума Верховного Суда Российской Федерации от 17.11.2015 № 50 «О применении судами законодательства при рассмотрении некоторых вопросов, возникающих в ходе исполнительного производства» в качестве оснований для признания торгов недействительными могут быть, в частности, публикация информации о проведении публичных торгов в ненадлежащем периодическом издании (с учётом объема тиража, территории распространения, доступности издания); нарушение сроков публикации и полноты информации о времени, месте и форме публичных торгов, их предмете, о существующих обременениях продаваемого имущества и порядке проведения публичных торгов, в том числе об оформлении участия в них, определении лица, выигравшего публичные торги, а также сведений о начальной цене; необоснованное недопущение к участию в публичных торгах.</w:t>
      </w:r>
    </w:p>
    <w:p>
      <w:pPr>
        <w:pStyle w:val="Normal"/>
        <w:spacing w:lineRule="auto" w:line="240" w:before="0" w:after="0"/>
        <w:ind w:firstLine="709"/>
        <w:jc w:val="both"/>
        <w:rPr/>
      </w:pPr>
      <w:r>
        <w:rPr>
          <w:rFonts w:cs="Times New Roman" w:ascii="Times New Roman" w:hAnsi="Times New Roman"/>
          <w:sz w:val="28"/>
          <w:szCs w:val="28"/>
        </w:rPr>
        <w:t>Соответственно, при отсутствии в извещении о проведении торгов, опубликованном до истечения срока действия договора на установку и эксплуатацию рекламной конструкции (с целью непосредственно проведения торгов по истечении срока действия договора на установку и эксплуатацию рекламной конструкции), информации о наличии такого обременения имущества как действующие договор и разрешение на установку и эксплуатацию рекламной конструкции, может рассматриваться как основание для аннулирования торгов антимонопольным органом.</w:t>
      </w:r>
    </w:p>
    <w:p>
      <w:pPr>
        <w:pStyle w:val="Normal"/>
        <w:spacing w:lineRule="auto" w:line="240" w:before="0" w:after="0"/>
        <w:ind w:firstLine="709"/>
        <w:jc w:val="both"/>
        <w:rPr/>
      </w:pPr>
      <w:r>
        <w:rPr>
          <w:rFonts w:cs="Times New Roman" w:ascii="Times New Roman" w:hAnsi="Times New Roman"/>
          <w:sz w:val="28"/>
          <w:szCs w:val="28"/>
        </w:rPr>
        <w:t>По мнению ФАС России, поскольку под обременением имущества собственника понимается наличие именно законных прав на имущество собственника, в случае если торги на право заключения договора на установку и эксплуатацию рекламной конструкции проводятся в отношении места, на котором фактически установлена рекламная конструкция, однако действующие договор и разрешение на установку и эксплуатацию данной рекламной конструкции отсутствуют, не приведение в извещении о проведении торгов сведений о данной фактически установленной рекламной конструкции не является основанием для аннулирования торгов антимонопольным органом.</w:t>
      </w:r>
    </w:p>
    <w:p>
      <w:pPr>
        <w:pStyle w:val="Normal"/>
        <w:spacing w:lineRule="auto" w:line="240" w:before="0" w:after="0"/>
        <w:ind w:firstLine="709"/>
        <w:jc w:val="both"/>
        <w:rPr/>
      </w:pPr>
      <w:r>
        <w:rPr>
          <w:rFonts w:cs="Times New Roman" w:ascii="Times New Roman" w:hAnsi="Times New Roman"/>
          <w:sz w:val="28"/>
          <w:szCs w:val="28"/>
        </w:rPr>
        <w:t>Однако, неисполнение органом местного самоуправления обязанности по демонтажу незаконно установленных и эксплуатируемых рекламных конструкций, в том числе при проведении торгов на заключение договора на установку и эксплуатацию рекламной конструкции при наличии на разыгрываемых местах фактически установленных рекламных конструкций, в отношении которых отсутствуют действующие договор и разрешение на установку и эксплуатацию данной рекламной конструкции, может подпадать под признаки нарушения части 1 статьи 15 Закона о защите конкуренции.</w:t>
      </w:r>
    </w:p>
    <w:p>
      <w:pPr>
        <w:pStyle w:val="Normal"/>
        <w:spacing w:lineRule="auto" w:line="240" w:before="0" w:after="0"/>
        <w:ind w:firstLine="709"/>
        <w:jc w:val="both"/>
        <w:rPr/>
      </w:pPr>
      <w:r>
        <w:rPr>
          <w:rFonts w:cs="Times New Roman" w:ascii="Times New Roman" w:hAnsi="Times New Roman"/>
          <w:sz w:val="28"/>
          <w:szCs w:val="28"/>
        </w:rPr>
        <w:t>Также признаки нарушения части 1 статьи 15 Закона о защите конкуренции могут усматриваться в бездействии органа местного самоуправления, выраженном в неисполнении обязанности по осуществлению действий по демонтажу рекламных конструкций, установленных и эксплуатируемых без действующего разрешения, при проведении торгов на заключение договора на установку и эксплуатацию рекламной конструкции непосредственно по истечении срока действия ранее заключённого договора на установку и эксплуатацию рекламной конструкции, при наличии рекламных конструкций на разыгрываемых местах в случае, если победитель торгов по данной причине не сможет реализовать своё право на установку и эксплуатацию рекламной конструкции.</w:t>
      </w:r>
    </w:p>
    <w:p>
      <w:pPr>
        <w:pStyle w:val="Normal"/>
        <w:spacing w:lineRule="auto" w:line="240" w:before="0" w:after="0"/>
        <w:ind w:firstLine="709"/>
        <w:jc w:val="both"/>
        <w:rPr/>
      </w:pPr>
      <w:r>
        <w:rPr>
          <w:rFonts w:cs="Times New Roman" w:ascii="Times New Roman" w:hAnsi="Times New Roman"/>
          <w:sz w:val="28"/>
          <w:szCs w:val="28"/>
        </w:rPr>
        <w:t>При этом, стоит отметить, что в соответствии с пунктом 19 постановления Пленума Высшего Арбитражного Суда Российской Федерации от 08.10.2012 № 58 «О некоторых вопросах практики применения арбитражными судами Федерального закона «О рекламе» ввиду отсутствия в законодательстве соответствующего регулирования смена собственника рекламной конструкции не приводит к перемене лиц в обязательстве из договора на установку рекламной конструкции в силу закона.</w:t>
      </w:r>
    </w:p>
    <w:p>
      <w:pPr>
        <w:pStyle w:val="Normal"/>
        <w:spacing w:lineRule="auto" w:line="240" w:before="0" w:after="0"/>
        <w:ind w:firstLine="709"/>
        <w:jc w:val="both"/>
        <w:rPr/>
      </w:pPr>
      <w:r>
        <w:rPr>
          <w:rFonts w:cs="Times New Roman" w:ascii="Times New Roman" w:hAnsi="Times New Roman"/>
          <w:sz w:val="28"/>
          <w:szCs w:val="28"/>
        </w:rPr>
        <w:t>Соответственно, законодательство Российской Федерации предусматривает возможность, при сохранении прав владельца рекламной конструкции по договору на установку и эксплуатацию рекламной конструкции, одному лицу передать по договору (например, договору уступки) непосредственно саму рекламную конструкцию иному лицу.</w:t>
      </w:r>
    </w:p>
    <w:p>
      <w:pPr>
        <w:pStyle w:val="Normal"/>
        <w:spacing w:lineRule="auto" w:line="240" w:before="0" w:after="0"/>
        <w:ind w:firstLine="709"/>
        <w:jc w:val="both"/>
        <w:rPr/>
      </w:pPr>
      <w:r>
        <w:rPr>
          <w:rFonts w:cs="Times New Roman" w:ascii="Times New Roman" w:hAnsi="Times New Roman"/>
          <w:sz w:val="28"/>
          <w:szCs w:val="28"/>
        </w:rPr>
        <w:t>По мнению специалистов ФАС России, в случае если новый договор на установку и эксплуатацию рекламной конструкции заключён с победителем торгов на право установки и эксплуатации рекламной конструкции на конкретном месте, проведённых непосредственно после истечения срока действия ранее заключённого договора на установку и эксплуатацию рекламной конструкции на данном месте, и такому победителю торгов переуступлены права на рекламную конструкцию как таковую, то такие переуступка и новый договор, а также полученное в соответствии с новым договором разрешение могут служить основанием для признания исполнением предписания органа местного самоуправления, выданного в соответствии с частью 21 статьи 19 Федерального закона «О рекламе».</w:t>
      </w:r>
    </w:p>
    <w:p>
      <w:pPr>
        <w:pStyle w:val="Normal"/>
        <w:spacing w:lineRule="auto" w:line="240" w:before="0" w:after="0"/>
        <w:ind w:firstLine="709"/>
        <w:jc w:val="both"/>
        <w:rPr/>
      </w:pPr>
      <w:r>
        <w:rPr>
          <w:rFonts w:cs="Times New Roman" w:ascii="Times New Roman" w:hAnsi="Times New Roman"/>
          <w:sz w:val="28"/>
          <w:szCs w:val="28"/>
        </w:rPr>
        <w:t>При отсутствии нового договора, заключённого в установленном порядке, и разрешения на установку и эксплуатацию рекламной конструкции на месте, на котором размещалась рекламная конструкция на основании ранее заключённого договора на установку и эксплуатацию рекламной конструкции, такая рекламная конструкция должна быть демонтирована, в том числе в порядке, предусмотренном частями 10, 21, 21.1, 21.2, 21.3 статьи 19 Закона о рекламе.</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pPr>
      <w:r>
        <w:rPr>
          <w:rFonts w:cs="Times New Roman" w:ascii="Times New Roman" w:hAnsi="Times New Roman"/>
          <w:sz w:val="28"/>
          <w:szCs w:val="28"/>
        </w:rPr>
        <w:t xml:space="preserve">5. Также антимонопольными органами выявлялись факты </w:t>
      </w:r>
      <w:r>
        <w:rPr>
          <w:rFonts w:cs="Times New Roman" w:ascii="Times New Roman" w:hAnsi="Times New Roman"/>
          <w:b/>
          <w:i/>
          <w:sz w:val="28"/>
          <w:szCs w:val="28"/>
        </w:rPr>
        <w:t>заключения договоров переуступки прав победителем торгов на право установки и эксплуатации рекламной конструкции на территории муниципального образования третьим лицам без проведения конкурентных процедур</w:t>
      </w:r>
      <w:r>
        <w:rPr>
          <w:rFonts w:cs="Times New Roman" w:ascii="Times New Roman" w:hAnsi="Times New Roman"/>
          <w:sz w:val="28"/>
          <w:szCs w:val="28"/>
        </w:rPr>
        <w:t>.</w:t>
      </w:r>
    </w:p>
    <w:p>
      <w:pPr>
        <w:pStyle w:val="Normal"/>
        <w:spacing w:lineRule="auto" w:line="240" w:before="0" w:after="0"/>
        <w:ind w:firstLine="709"/>
        <w:jc w:val="both"/>
        <w:rPr/>
      </w:pPr>
      <w:r>
        <w:rPr>
          <w:rFonts w:cs="Times New Roman" w:ascii="Times New Roman" w:hAnsi="Times New Roman"/>
          <w:sz w:val="28"/>
          <w:szCs w:val="28"/>
        </w:rPr>
        <w:t>Так, согласно указанным договорам переуступки прав, победитель торгов уступает третьему лицу все свои права и переводит на него все свои обязанности по договорам, заключенным по результатам торгов на право установки и эксплуатации рекламных конструкций, заключенным между организатором торгов и победителем. При этом переуступка прав по договору осуществляется с согласия организатора торгов.</w:t>
      </w:r>
    </w:p>
    <w:p>
      <w:pPr>
        <w:pStyle w:val="Normal"/>
        <w:spacing w:lineRule="auto" w:line="240" w:before="0" w:after="0"/>
        <w:ind w:firstLine="709"/>
        <w:jc w:val="both"/>
        <w:rPr/>
      </w:pPr>
      <w:r>
        <w:rPr>
          <w:rFonts w:cs="Times New Roman" w:ascii="Times New Roman" w:hAnsi="Times New Roman"/>
          <w:sz w:val="28"/>
          <w:szCs w:val="28"/>
        </w:rPr>
        <w:t xml:space="preserve">Согласно части 5 статьи 19 Закона о рекламе установка и эксплуатация рекламной конструкции осуществляются её владельцем по договору с собственником земельного участка, здания или иного недвижимого имущества, к которому присоединяется рекламная конструкция, либо с лицом, управомоченным собственником такого имущества, в том числе с арендатором. </w:t>
      </w:r>
    </w:p>
    <w:p>
      <w:pPr>
        <w:pStyle w:val="Normal"/>
        <w:spacing w:lineRule="auto" w:line="240" w:before="0" w:after="0"/>
        <w:ind w:firstLine="709"/>
        <w:jc w:val="both"/>
        <w:rPr/>
      </w:pPr>
      <w:r>
        <w:rPr>
          <w:rFonts w:cs="Times New Roman" w:ascii="Times New Roman" w:hAnsi="Times New Roman"/>
          <w:sz w:val="28"/>
          <w:szCs w:val="28"/>
        </w:rPr>
        <w:t>Часть 3 статьи 447 Гражданского кодекса Российской Федерации предусматривает, что в случаях, указанных в данном Кодексе или ином законе, договоры о продаже вещи или имущественного права могут быть заключены только путём проведения торгов.</w:t>
      </w:r>
    </w:p>
    <w:p>
      <w:pPr>
        <w:pStyle w:val="Normal"/>
        <w:spacing w:lineRule="auto" w:line="240" w:before="0" w:after="0"/>
        <w:ind w:firstLine="709"/>
        <w:jc w:val="both"/>
        <w:rPr/>
      </w:pPr>
      <w:r>
        <w:rPr>
          <w:rFonts w:cs="Times New Roman" w:ascii="Times New Roman" w:hAnsi="Times New Roman"/>
          <w:sz w:val="28"/>
          <w:szCs w:val="28"/>
        </w:rPr>
        <w:t>В соответствии с частью 5.1 статьи 19 Закона о рекламе заключение договора на установку и эксплуатацию рекламной конструкции на земельном участке, здании или ином недвижимом имуществе, находящемся в государственной или муниципальной собственности, осуществляется на основе торгов (в форме аукциона или конкурса), проводимых органами государственной власти, органами местного самоуправления или уполномоченными ими организациями в соответствии с законодательством Российской Федерации.</w:t>
      </w:r>
    </w:p>
    <w:p>
      <w:pPr>
        <w:pStyle w:val="Normal"/>
        <w:spacing w:lineRule="auto" w:line="240" w:before="0" w:after="0"/>
        <w:ind w:firstLine="709"/>
        <w:jc w:val="both"/>
        <w:rPr/>
      </w:pPr>
      <w:r>
        <w:rPr>
          <w:rFonts w:cs="Times New Roman" w:ascii="Times New Roman" w:hAnsi="Times New Roman"/>
          <w:sz w:val="28"/>
          <w:szCs w:val="28"/>
        </w:rPr>
        <w:t>Таким образом, Закон о рекламе закрепляет специальный порядок возникновения у владельца рекламной конструкции права на её установку на государственном или муниципальном недвижимом имуществе.</w:t>
      </w:r>
    </w:p>
    <w:p>
      <w:pPr>
        <w:pStyle w:val="Normal"/>
        <w:spacing w:lineRule="auto" w:line="240" w:before="0" w:after="0"/>
        <w:ind w:firstLine="709"/>
        <w:jc w:val="both"/>
        <w:rPr/>
      </w:pPr>
      <w:r>
        <w:rPr>
          <w:rFonts w:cs="Times New Roman" w:ascii="Times New Roman" w:hAnsi="Times New Roman"/>
          <w:sz w:val="28"/>
          <w:szCs w:val="28"/>
        </w:rPr>
        <w:t>В соответствии с пунктом 1 статьи 388 Гражданского кодекса Российской Федерации уступка требования кредитором другому лицу допускается, если она не противоречит закону, иным правовым актам или договору.</w:t>
      </w:r>
    </w:p>
    <w:p>
      <w:pPr>
        <w:pStyle w:val="Normal"/>
        <w:spacing w:lineRule="auto" w:line="240" w:before="0" w:after="0"/>
        <w:ind w:firstLine="709"/>
        <w:jc w:val="both"/>
        <w:rPr/>
      </w:pPr>
      <w:r>
        <w:rPr>
          <w:rFonts w:cs="Times New Roman" w:ascii="Times New Roman" w:hAnsi="Times New Roman"/>
          <w:sz w:val="28"/>
          <w:szCs w:val="28"/>
        </w:rPr>
        <w:t>В соответствии со статьей 383 Гражданского кодекса Российской Федерации, переход к другому лицу прав, неразрывно связанных с личностью кредитора, в частности требований об алиментах и о возмещении вреда, причиненного жизни или здоровью, не допускается.</w:t>
      </w:r>
    </w:p>
    <w:p>
      <w:pPr>
        <w:pStyle w:val="Normal"/>
        <w:spacing w:lineRule="auto" w:line="240" w:before="0" w:after="0"/>
        <w:ind w:firstLine="709"/>
        <w:jc w:val="both"/>
        <w:rPr/>
      </w:pPr>
      <w:r>
        <w:rPr>
          <w:rFonts w:cs="Times New Roman" w:ascii="Times New Roman" w:hAnsi="Times New Roman"/>
          <w:sz w:val="28"/>
          <w:szCs w:val="28"/>
        </w:rPr>
        <w:t>Право на установку и эксплуатацию рекламной конструкции, полученное по результатам аукциона неразрывно связано с личностью победителя (кредитора), и с учетом положений статьи 383 Гражданского кодекса Российской Федерации передача данного права третьему лицу невозможна.</w:t>
      </w:r>
    </w:p>
    <w:p>
      <w:pPr>
        <w:pStyle w:val="Normal"/>
        <w:spacing w:lineRule="auto" w:line="240" w:before="0" w:after="0"/>
        <w:ind w:firstLine="709"/>
        <w:jc w:val="both"/>
        <w:rPr/>
      </w:pPr>
      <w:r>
        <w:rPr>
          <w:rFonts w:cs="Times New Roman" w:ascii="Times New Roman" w:hAnsi="Times New Roman"/>
          <w:sz w:val="28"/>
          <w:szCs w:val="28"/>
        </w:rPr>
        <w:t>Согласно пункту 7 статьи 448 Гражданского кодекса Российской Федерации (в редакции, вступившей в силу с 01.06.2015) если в соответствии с законом заключение договора возможно только путем проведения торгов, победитель торгов не вправе уступать права и осуществлять перевод долга по обязательствам, возникшим из заключенного на торгах договора.</w:t>
      </w:r>
    </w:p>
    <w:p>
      <w:pPr>
        <w:pStyle w:val="Normal"/>
        <w:spacing w:lineRule="auto" w:line="240" w:before="0" w:after="0"/>
        <w:ind w:firstLine="709"/>
        <w:jc w:val="both"/>
        <w:rPr/>
      </w:pPr>
      <w:r>
        <w:rPr>
          <w:rFonts w:cs="Times New Roman" w:ascii="Times New Roman" w:hAnsi="Times New Roman"/>
          <w:sz w:val="28"/>
          <w:szCs w:val="28"/>
        </w:rPr>
        <w:t>Таким образом, уступка победителем торгов прав по договору на установку и эксплуатацию рекламной конструкции на государственном или муниципальном недвижимом имуществе противоречит в целом Российскому законодательству как с учетом требований Закона о рекламе, так и общих норм Гражданского кодекса Российской Федерации.</w:t>
      </w:r>
    </w:p>
    <w:p>
      <w:pPr>
        <w:pStyle w:val="Normal"/>
        <w:spacing w:lineRule="auto" w:line="240" w:before="0" w:after="0"/>
        <w:ind w:firstLine="709"/>
        <w:jc w:val="both"/>
        <w:rPr/>
      </w:pPr>
      <w:r>
        <w:rPr>
          <w:rFonts w:cs="Times New Roman" w:ascii="Times New Roman" w:hAnsi="Times New Roman"/>
          <w:sz w:val="28"/>
          <w:szCs w:val="28"/>
        </w:rPr>
        <w:t>Проведение конкурентных процедур на право установки и эксплуатации рекламной конструкции на государственном или муниципальном недвижимом имуществе является обязательным условием для выхода на рынок рекламы. Указанное право не может быть передано другому лицу вне конкурентных процедур.</w:t>
      </w:r>
    </w:p>
    <w:p>
      <w:pPr>
        <w:pStyle w:val="Normal"/>
        <w:spacing w:lineRule="auto" w:line="240" w:before="0" w:after="0"/>
        <w:ind w:firstLine="709"/>
        <w:jc w:val="both"/>
        <w:rPr/>
      </w:pPr>
      <w:r>
        <w:rPr>
          <w:rFonts w:cs="Times New Roman" w:ascii="Times New Roman" w:hAnsi="Times New Roman"/>
          <w:sz w:val="28"/>
          <w:szCs w:val="28"/>
        </w:rPr>
        <w:t>Учитывая изложенное, в случае, если рекламная конструкция установлена на государственном или муниципальном имуществе, переуступка прав владельца рекламной конструкции по договору на установку и эксплуатацию рекламной конструкции недопустима, поскольку процедура торгов предусматривает исключительное право для выигравшего конкретного лица заключения договора с собственником имущества, к которому присоединяется рекламная конструкция.</w:t>
      </w:r>
    </w:p>
    <w:p>
      <w:pPr>
        <w:pStyle w:val="Normal"/>
        <w:spacing w:lineRule="auto" w:line="240" w:before="0" w:after="0"/>
        <w:ind w:firstLine="709"/>
        <w:jc w:val="both"/>
        <w:rPr>
          <w:sz w:val="28"/>
          <w:szCs w:val="28"/>
        </w:rPr>
      </w:pPr>
      <w:r>
        <w:rPr>
          <w:rFonts w:eastAsia="Times New Roman" w:cs="Times New Roman" w:ascii="Times New Roman" w:hAnsi="Times New Roman"/>
          <w:color w:val="000000"/>
          <w:sz w:val="28"/>
          <w:szCs w:val="28"/>
          <w:lang w:eastAsia="ru-RU"/>
        </w:rPr>
        <w:t>Таким образом, в действиях организатора торгов, выразившихся в даче письменного согласия на заключение договоров переуступки прав (или заключении соглашений о замене лиц в договорах на установку и эксплуатацию рекламных конструкций на территории муниципального образования с победителями торгов и третьими лицами), содержатся признаки нарушения части 1 статьи 15 Закона о защите конкуренции, которое приводит или может привести к недопущению, ограничению, устранению конкуренции.</w:t>
      </w:r>
    </w:p>
    <w:p>
      <w:pPr>
        <w:pStyle w:val="Normal"/>
        <w:spacing w:lineRule="auto" w:line="240" w:before="0" w:after="0"/>
        <w:ind w:firstLine="70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r>
    </w:p>
    <w:p>
      <w:pPr>
        <w:pStyle w:val="Normal"/>
        <w:spacing w:lineRule="auto" w:line="240" w:before="0" w:after="0"/>
        <w:ind w:firstLine="709"/>
        <w:jc w:val="both"/>
        <w:rPr/>
      </w:pPr>
      <w:r>
        <w:rPr>
          <w:rFonts w:cs="Times New Roman" w:ascii="Times New Roman" w:hAnsi="Times New Roman"/>
          <w:sz w:val="28"/>
          <w:szCs w:val="28"/>
        </w:rPr>
        <w:t xml:space="preserve">6. </w:t>
      </w:r>
      <w:r>
        <w:rPr>
          <w:rFonts w:eastAsia="Times New Roman" w:cs="Times New Roman" w:ascii="Times New Roman" w:hAnsi="Times New Roman"/>
          <w:sz w:val="28"/>
          <w:szCs w:val="28"/>
          <w:lang w:eastAsia="ru-RU"/>
        </w:rPr>
        <w:t xml:space="preserve">Значительная часть нарушений </w:t>
      </w:r>
      <w:r>
        <w:rPr>
          <w:rFonts w:cs="Times New Roman" w:ascii="Times New Roman" w:hAnsi="Times New Roman"/>
          <w:sz w:val="28"/>
          <w:szCs w:val="28"/>
        </w:rPr>
        <w:t>антимонопольного законодательства в сфере наружной рекламы</w:t>
      </w:r>
      <w:r>
        <w:rPr>
          <w:rFonts w:eastAsia="Times New Roman" w:cs="Times New Roman" w:ascii="Times New Roman" w:hAnsi="Times New Roman"/>
          <w:sz w:val="28"/>
          <w:szCs w:val="28"/>
          <w:lang w:eastAsia="ru-RU"/>
        </w:rPr>
        <w:t xml:space="preserve"> выявлена </w:t>
      </w:r>
      <w:r>
        <w:rPr>
          <w:rFonts w:cs="Times New Roman" w:ascii="Times New Roman" w:hAnsi="Times New Roman"/>
          <w:b/>
          <w:i/>
          <w:sz w:val="28"/>
          <w:szCs w:val="28"/>
        </w:rPr>
        <w:t>при выдаче разрешений на установку и эксплуатацию рекламных конструкций.</w:t>
      </w:r>
    </w:p>
    <w:p>
      <w:pPr>
        <w:pStyle w:val="Normal"/>
        <w:spacing w:lineRule="auto" w:line="240" w:before="0" w:after="0"/>
        <w:ind w:firstLine="709"/>
        <w:jc w:val="both"/>
        <w:rPr/>
      </w:pPr>
      <w:r>
        <w:rPr>
          <w:rFonts w:cs="Times New Roman" w:ascii="Times New Roman" w:hAnsi="Times New Roman"/>
          <w:sz w:val="28"/>
          <w:szCs w:val="28"/>
        </w:rPr>
        <w:t xml:space="preserve">Так, </w:t>
      </w:r>
      <w:r>
        <w:rPr>
          <w:rFonts w:eastAsia="Times New Roman" w:cs="Times New Roman" w:ascii="Times New Roman" w:hAnsi="Times New Roman"/>
          <w:sz w:val="28"/>
          <w:szCs w:val="28"/>
          <w:lang w:eastAsia="ru-RU"/>
        </w:rPr>
        <w:t xml:space="preserve">в действиях </w:t>
      </w:r>
      <w:r>
        <w:rPr>
          <w:rFonts w:cs="Times New Roman" w:ascii="Times New Roman" w:hAnsi="Times New Roman"/>
          <w:sz w:val="28"/>
          <w:szCs w:val="28"/>
        </w:rPr>
        <w:t>органов местного самоуправления при выдаче ими разрешения на установку и эксплуатацию рекламной конструкции выявлялись следующие нарушения:</w:t>
      </w:r>
    </w:p>
    <w:p>
      <w:pPr>
        <w:pStyle w:val="Normal"/>
        <w:spacing w:lineRule="auto" w:line="240" w:before="0" w:after="0"/>
        <w:ind w:firstLine="709"/>
        <w:jc w:val="both"/>
        <w:rPr/>
      </w:pPr>
      <w:r>
        <w:rPr>
          <w:rFonts w:cs="Times New Roman" w:ascii="Times New Roman" w:hAnsi="Times New Roman"/>
          <w:sz w:val="28"/>
          <w:szCs w:val="28"/>
        </w:rPr>
        <w:t>- затягивание сроков выдачи разрешения;</w:t>
      </w:r>
    </w:p>
    <w:p>
      <w:pPr>
        <w:pStyle w:val="Normal"/>
        <w:spacing w:lineRule="auto" w:line="240" w:before="0" w:after="0"/>
        <w:ind w:firstLine="709"/>
        <w:jc w:val="both"/>
        <w:rPr/>
      </w:pPr>
      <w:r>
        <w:rPr>
          <w:rFonts w:cs="Times New Roman" w:ascii="Times New Roman" w:hAnsi="Times New Roman"/>
          <w:sz w:val="28"/>
          <w:szCs w:val="28"/>
        </w:rPr>
        <w:t>- требование от Заявителя при оформлении разрешения документов, не предусмотренных действующим законодательством.</w:t>
      </w:r>
    </w:p>
    <w:p>
      <w:pPr>
        <w:pStyle w:val="Normal"/>
        <w:spacing w:lineRule="auto" w:line="240" w:before="0" w:after="0"/>
        <w:ind w:firstLine="709"/>
        <w:jc w:val="both"/>
        <w:rPr/>
      </w:pPr>
      <w:r>
        <w:rPr>
          <w:rFonts w:cs="Times New Roman" w:ascii="Times New Roman" w:hAnsi="Times New Roman"/>
          <w:sz w:val="28"/>
          <w:szCs w:val="28"/>
        </w:rPr>
        <w:t>В соответствии с частью 9 статьи 19 Закона о рекламе предусмотрено, что установка рекламной конструкции допускается при наличии разрешения на установку рекламной конструкции, выдаваемого на основании заявления собственника или иного указанного в частях 5 - 7 названной статьи законного владельца соответствующего недвижимого имущества либо владельца рекламной конструкции органом местного самоуправления муниципального района или органом местного самоуправления городского округа, на территориях которых предполагается осуществить установку рекламной конструкции.</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Согласно пункту 2 статьи 11 Закона о рекламе к указанному в части 9 данной статьи заявлению прилагается, в том числе подтверждение в письменной форме или в форме электронного документа с использованием единого портала государственных и муниципальных услуг и (или) региональных порталов государственных и муниципальных услуг согласия собственника или иного указанного в частях 5, 6, 7 данной статьи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случае, если заявитель не представил документ, подтверждающий получение такого согласия, по собственной инициативе, а соответствующее 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w:t>
      </w:r>
    </w:p>
    <w:p>
      <w:pPr>
        <w:pStyle w:val="Normal"/>
        <w:spacing w:lineRule="auto" w:line="240" w:before="0" w:after="0"/>
        <w:ind w:firstLine="709"/>
        <w:jc w:val="both"/>
        <w:rPr/>
      </w:pPr>
      <w:r>
        <w:rPr>
          <w:rFonts w:cs="Times New Roman" w:ascii="Times New Roman" w:hAnsi="Times New Roman"/>
          <w:sz w:val="28"/>
          <w:szCs w:val="28"/>
        </w:rPr>
        <w:t>Пункт 4 части 15 статьи 19 Закона о рекламе, содержит перечень оснований, по которым орган местного самоуправления принимает решение об отказе в выдаче разрешения на установку и эксплуатацию рекламной конструкции</w:t>
      </w:r>
      <w:r>
        <w:rPr>
          <w:rFonts w:eastAsia="Times New Roman" w:cs="Times New Roman" w:ascii="Times New Roman" w:hAnsi="Times New Roman"/>
          <w:sz w:val="28"/>
          <w:szCs w:val="28"/>
        </w:rPr>
        <w:t>.</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 xml:space="preserve">В соответствии с частью 14 статьи 19 </w:t>
      </w:r>
      <w:r>
        <w:rPr>
          <w:rFonts w:cs="Times New Roman" w:ascii="Times New Roman" w:hAnsi="Times New Roman"/>
          <w:sz w:val="28"/>
          <w:szCs w:val="28"/>
        </w:rPr>
        <w:t>Закона о рекламе</w:t>
      </w:r>
      <w:r>
        <w:rPr>
          <w:rFonts w:eastAsia="Times New Roman" w:cs="Times New Roman" w:ascii="Times New Roman" w:hAnsi="Times New Roman"/>
          <w:color w:val="000000"/>
          <w:sz w:val="28"/>
          <w:szCs w:val="28"/>
          <w:lang w:eastAsia="ru-RU"/>
        </w:rPr>
        <w:t xml:space="preserve"> решение о выдаче разрешения или об отказе в его выдаче в письменной форме или в форме электронного документа с использованием единого портала государственных и муниципальных услуг или региональных порталов государственных и муниципальных услуг должно быть направлено органом местного самоуправления муниципального района или органом местного самоуправления городского округа заявителю в течение </w:t>
      </w:r>
      <w:r>
        <w:rPr>
          <w:rFonts w:eastAsia="Times New Roman" w:cs="Times New Roman" w:ascii="Times New Roman" w:hAnsi="Times New Roman"/>
          <w:b/>
          <w:bCs/>
          <w:color w:val="000000"/>
          <w:sz w:val="28"/>
          <w:szCs w:val="28"/>
          <w:lang w:eastAsia="ru-RU"/>
        </w:rPr>
        <w:t xml:space="preserve">двух месяцев </w:t>
      </w:r>
      <w:r>
        <w:rPr>
          <w:rFonts w:eastAsia="Times New Roman" w:cs="Times New Roman" w:ascii="Times New Roman" w:hAnsi="Times New Roman"/>
          <w:color w:val="000000"/>
          <w:sz w:val="28"/>
          <w:szCs w:val="28"/>
          <w:lang w:eastAsia="ru-RU"/>
        </w:rPr>
        <w:t xml:space="preserve">со дня приема от него необходимых документов. Заявитель, не получивший в указанный срок от органа местного самоуправления муниципального района или органа местного самоуправления городского округа решения о выдаче разрешения или об отказе в его выдаче, в течение </w:t>
      </w:r>
      <w:r>
        <w:rPr>
          <w:rFonts w:eastAsia="Times New Roman" w:cs="Times New Roman" w:ascii="Times New Roman" w:hAnsi="Times New Roman"/>
          <w:b/>
          <w:bCs/>
          <w:color w:val="000000"/>
          <w:sz w:val="28"/>
          <w:szCs w:val="28"/>
          <w:lang w:eastAsia="ru-RU"/>
        </w:rPr>
        <w:t xml:space="preserve">трех месяцев </w:t>
      </w:r>
      <w:r>
        <w:rPr>
          <w:rFonts w:eastAsia="Times New Roman" w:cs="Times New Roman" w:ascii="Times New Roman" w:hAnsi="Times New Roman"/>
          <w:color w:val="000000"/>
          <w:sz w:val="28"/>
          <w:szCs w:val="28"/>
          <w:lang w:eastAsia="ru-RU"/>
        </w:rPr>
        <w:t>вправе обратиться в суд или арбитражный суд с заявлением о признании бездействия соответствующего органа местного самоуправления незаконным.</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Таким образом, Закон о рекламе содержит единые сроки направления органом местного самоуправления решения о выдаче разрешения или об отказе в его выдаче, которые составляют два месяца с даты приема органом местного самоуправления документов от заявителя.</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Каких-либо изъятий или исключений из указанного требования, равно как и иных сроков направления органом местного самоуправления решения о выдаче разрешения или об отказе в его выдаче, Закон о рекламе не содержит.</w:t>
      </w:r>
    </w:p>
    <w:p>
      <w:pPr>
        <w:pStyle w:val="Normal"/>
        <w:spacing w:lineRule="auto" w:line="240" w:before="0" w:after="0"/>
        <w:ind w:firstLine="709"/>
        <w:jc w:val="both"/>
        <w:rPr/>
      </w:pPr>
      <w:r>
        <w:rPr>
          <w:rFonts w:cs="Times New Roman" w:ascii="Times New Roman" w:hAnsi="Times New Roman"/>
          <w:sz w:val="28"/>
          <w:szCs w:val="28"/>
        </w:rPr>
        <w:t>Таким образом, в случае если органом местного самоуправления превышен двухмесячный срок направления решения о выдаче разрешения или об отказе в его выдаче, заявитель вправе в течение трех месяцев обратиться в суд или арбитражный суд с заявлением о признании бездействия соответствующего органа местного самоуправления незаконным.</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С учетом изложенного, органы местного самоуправления при выдаче</w:t>
      </w:r>
      <w:r>
        <w:rPr>
          <w:rFonts w:cs="Times New Roman" w:ascii="Times New Roman" w:hAnsi="Times New Roman"/>
          <w:sz w:val="28"/>
          <w:szCs w:val="28"/>
        </w:rPr>
        <w:t xml:space="preserve"> разрешений на установку и эксплуатацию рекламных конструкций должны руководствоваться требованиями законодательства Российской Федерации. В случае нарушения соответствующих требований законодательства со стороны органов местного самоуправления заинтересованные лица вправе обратиться с соответствующим заявлением в органы прокуратуры, либо суд.</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xml:space="preserve">Кроме того, в соответствии с частью 12 статьи 19 Закона о рекламе орган местного самоуправления муниципального района или орган местного самоуправления городского округа </w:t>
      </w:r>
      <w:r>
        <w:rPr>
          <w:rFonts w:eastAsia="Times New Roman" w:cs="Times New Roman" w:ascii="Times New Roman" w:hAnsi="Times New Roman"/>
          <w:b/>
          <w:bCs/>
          <w:sz w:val="28"/>
          <w:szCs w:val="28"/>
          <w:lang w:eastAsia="ru-RU"/>
        </w:rPr>
        <w:t xml:space="preserve">не вправе </w:t>
      </w:r>
      <w:r>
        <w:rPr>
          <w:rFonts w:eastAsia="Times New Roman" w:cs="Times New Roman" w:ascii="Times New Roman" w:hAnsi="Times New Roman"/>
          <w:sz w:val="28"/>
          <w:szCs w:val="28"/>
          <w:lang w:eastAsia="ru-RU"/>
        </w:rPr>
        <w:t xml:space="preserve">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w:t>
      </w:r>
      <w:r>
        <w:rPr>
          <w:rFonts w:eastAsia="Times New Roman" w:cs="Times New Roman" w:ascii="Times New Roman" w:hAnsi="Times New Roman"/>
          <w:b/>
          <w:bCs/>
          <w:sz w:val="28"/>
          <w:szCs w:val="28"/>
          <w:lang w:eastAsia="ru-RU"/>
        </w:rPr>
        <w:t>взимать</w:t>
      </w:r>
      <w:r>
        <w:rPr>
          <w:rFonts w:eastAsia="Times New Roman" w:cs="Times New Roman" w:ascii="Times New Roman" w:hAnsi="Times New Roman"/>
          <w:sz w:val="28"/>
          <w:szCs w:val="28"/>
          <w:lang w:eastAsia="ru-RU"/>
        </w:rPr>
        <w:t xml:space="preserve"> помимо государственной пошлины</w:t>
      </w:r>
      <w:r>
        <w:rPr>
          <w:rFonts w:eastAsia="Times New Roman" w:cs="Times New Roman" w:ascii="Times New Roman" w:hAnsi="Times New Roman"/>
          <w:b/>
          <w:bCs/>
          <w:sz w:val="28"/>
          <w:szCs w:val="28"/>
          <w:lang w:eastAsia="ru-RU"/>
        </w:rPr>
        <w:t xml:space="preserve"> дополнительную плату за</w:t>
      </w:r>
      <w:r>
        <w:rPr>
          <w:rFonts w:eastAsia="Times New Roman" w:cs="Times New Roman" w:ascii="Times New Roman" w:hAnsi="Times New Roman"/>
          <w:sz w:val="28"/>
          <w:szCs w:val="28"/>
          <w:lang w:eastAsia="ru-RU"/>
        </w:rPr>
        <w:t xml:space="preserve"> подготовку, оформление, выдачу разрешения и </w:t>
      </w:r>
      <w:r>
        <w:rPr>
          <w:rFonts w:eastAsia="Times New Roman" w:cs="Times New Roman" w:ascii="Times New Roman" w:hAnsi="Times New Roman"/>
          <w:b/>
          <w:bCs/>
          <w:sz w:val="28"/>
          <w:szCs w:val="28"/>
          <w:lang w:eastAsia="ru-RU"/>
        </w:rPr>
        <w:t>совершение иных, связанных с выдачей разрешения действий.</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xml:space="preserve">Анализ действующих нормативно-правовых актов органов местного самоуправления, утверждающих </w:t>
      </w:r>
      <w:r>
        <w:rPr>
          <w:rFonts w:cs="Times New Roman" w:ascii="Times New Roman" w:hAnsi="Times New Roman"/>
          <w:sz w:val="28"/>
          <w:szCs w:val="28"/>
        </w:rPr>
        <w:t xml:space="preserve">«Порядок выдачи разрешения на установку рекламных конструкций на территории муниципального образования», показал, что указанные </w:t>
      </w:r>
      <w:r>
        <w:rPr>
          <w:rFonts w:eastAsia="Times New Roman" w:cs="Times New Roman" w:ascii="Times New Roman" w:hAnsi="Times New Roman"/>
          <w:sz w:val="28"/>
          <w:szCs w:val="28"/>
          <w:lang w:eastAsia="ru-RU"/>
        </w:rPr>
        <w:t>нормативные правовые акты могут содержать требования по предоставлению Заявителем данных о заявителе: для юридических лиц и индивидуальных предпринимателей - сведения с указанием адреса местонахождения (юридического и фактического), идентификационного номера налогоплательщика (ИНН), банковских реквизитов, должностей и фамилий руководителя и главного бухгалтера, номеров их телефонов, данные о государственной регистрации юридического лица или государственной регистрации физического лица в качестве индивидуального предпринимателя в виде копии свидетельства о регистрации - для юридических лиц, свидетельства о регистрации индивидуального предпринимателя - для физических лиц.</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В соответствии с частью 11 статьи 19 Закона о рекламе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Таким образом, орган местного самоуправления муниципального района или орган местного самоуправления городского округа не вправе требовать от владельцев рекламных конструкций предоставления указанной информации.</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xml:space="preserve">Учитывая изложенное, </w:t>
      </w:r>
      <w:r>
        <w:rPr>
          <w:rFonts w:cs="Times New Roman" w:ascii="Times New Roman" w:hAnsi="Times New Roman"/>
          <w:sz w:val="28"/>
          <w:szCs w:val="28"/>
        </w:rPr>
        <w:t>действия органов местного самоуправления, выраженные в утверждении порядка по предоставлению муниципальной услуги «Выдача разрешения на установку рекламных конструкций на территории муниципального образования», который содержит перечень документов, необходимых для предоставления муниципальной услуги, не предусмотренный частью 11 статьи 19 Закона о рекламе, что противоречит части 12 статьи 19 Закона о рекламе, может содержать признаки нарушения части 1 статьи 15 Закона о защите конкуренции.</w:t>
      </w:r>
    </w:p>
    <w:p>
      <w:pPr>
        <w:pStyle w:val="Normal"/>
        <w:spacing w:lineRule="auto" w:line="240" w:before="0" w:after="0"/>
        <w:ind w:firstLine="709"/>
        <w:jc w:val="both"/>
        <w:rPr>
          <w:rFonts w:ascii="Times New Roman" w:hAnsi="Times New Roman"/>
        </w:rPr>
      </w:pPr>
      <w:r>
        <w:rPr>
          <w:rFonts w:eastAsia="Times New Roman" w:cs="Times New Roman" w:ascii="Times New Roman" w:hAnsi="Times New Roman"/>
          <w:sz w:val="28"/>
          <w:szCs w:val="28"/>
          <w:lang w:eastAsia="ru-RU"/>
        </w:rPr>
        <w:t xml:space="preserve">Таким образом, при утверждении органами местного самоуправления муниципальных районов и органами местного самоуправления городских округов нормативных правовых актов, определяющих порядок </w:t>
      </w:r>
      <w:r>
        <w:rPr>
          <w:rFonts w:cs="Times New Roman" w:ascii="Times New Roman" w:hAnsi="Times New Roman"/>
          <w:sz w:val="28"/>
          <w:szCs w:val="28"/>
        </w:rPr>
        <w:t>выдачи разрешений на установку и эксплуатацию рекламных конструкций на территории муниципального образования</w:t>
      </w:r>
      <w:r>
        <w:rPr>
          <w:rFonts w:eastAsia="Times New Roman" w:cs="Times New Roman" w:ascii="Times New Roman" w:hAnsi="Times New Roman"/>
          <w:sz w:val="28"/>
          <w:szCs w:val="28"/>
          <w:lang w:eastAsia="ru-RU"/>
        </w:rPr>
        <w:t xml:space="preserve"> на подведомственных им территориях, необходимо обеспечить соблюдение положений Закона о защите конкуренции и Закона о рекламе.</w:t>
      </w:r>
    </w:p>
    <w:p>
      <w:pPr>
        <w:pStyle w:val="Normal"/>
        <w:spacing w:lineRule="auto" w:line="240" w:before="0" w:after="0"/>
        <w:ind w:firstLine="709"/>
        <w:jc w:val="both"/>
        <w:rPr>
          <w:rFonts w:eastAsia="Times New Roman" w:cs="Times New Roman"/>
          <w:sz w:val="28"/>
          <w:szCs w:val="28"/>
          <w:lang w:eastAsia="ru-RU"/>
        </w:rPr>
      </w:pPr>
      <w:r>
        <w:rPr>
          <w:rFonts w:eastAsia="Times New Roman" w:cs="Times New Roman"/>
          <w:sz w:val="28"/>
          <w:szCs w:val="28"/>
          <w:lang w:eastAsia="ru-RU"/>
        </w:rPr>
      </w:r>
    </w:p>
    <w:p>
      <w:pPr>
        <w:pStyle w:val="Normal"/>
        <w:spacing w:lineRule="auto" w:line="240" w:before="0" w:after="0"/>
        <w:ind w:firstLine="709"/>
        <w:jc w:val="both"/>
        <w:rPr/>
      </w:pPr>
      <w:r>
        <w:rPr>
          <w:rFonts w:cs="Times New Roman" w:ascii="Times New Roman" w:hAnsi="Times New Roman"/>
          <w:sz w:val="28"/>
          <w:szCs w:val="28"/>
        </w:rPr>
        <w:t xml:space="preserve">7. </w:t>
      </w:r>
      <w:r>
        <w:rPr>
          <w:rFonts w:eastAsia="Times New Roman" w:cs="Times New Roman" w:ascii="Times New Roman" w:hAnsi="Times New Roman"/>
          <w:sz w:val="28"/>
          <w:szCs w:val="28"/>
          <w:lang w:eastAsia="ru-RU"/>
        </w:rPr>
        <w:t xml:space="preserve">Также нарушения </w:t>
      </w:r>
      <w:r>
        <w:rPr>
          <w:rFonts w:cs="Times New Roman" w:ascii="Times New Roman" w:hAnsi="Times New Roman"/>
          <w:sz w:val="28"/>
          <w:szCs w:val="28"/>
        </w:rPr>
        <w:t>антимонопольного законодательства в сфере наружной рекламы</w:t>
      </w:r>
      <w:r>
        <w:rPr>
          <w:rFonts w:eastAsia="Times New Roman" w:cs="Times New Roman" w:ascii="Times New Roman" w:hAnsi="Times New Roman"/>
          <w:sz w:val="28"/>
          <w:szCs w:val="28"/>
          <w:lang w:eastAsia="ru-RU"/>
        </w:rPr>
        <w:t xml:space="preserve"> выявлены в действиях (бездействии) </w:t>
      </w:r>
      <w:r>
        <w:rPr>
          <w:rFonts w:cs="Times New Roman" w:ascii="Times New Roman" w:hAnsi="Times New Roman"/>
          <w:sz w:val="28"/>
          <w:szCs w:val="28"/>
        </w:rPr>
        <w:t xml:space="preserve">органов местного самоуправления </w:t>
      </w:r>
      <w:r>
        <w:rPr>
          <w:rFonts w:cs="Times New Roman" w:ascii="Times New Roman" w:hAnsi="Times New Roman"/>
          <w:b/>
          <w:i/>
          <w:sz w:val="28"/>
          <w:szCs w:val="28"/>
        </w:rPr>
        <w:t>при включении в положение о порядке проведения торгов в форме аукционов и конкурсов на право заключения договора на установку и эксплуатацию рекламной конструкции на территории муниципального образования требований, ограничивающих конкуренцию.</w:t>
      </w:r>
    </w:p>
    <w:p>
      <w:pPr>
        <w:pStyle w:val="Normal"/>
        <w:spacing w:lineRule="auto" w:line="240" w:before="0" w:after="0"/>
        <w:ind w:firstLine="709"/>
        <w:jc w:val="both"/>
        <w:rPr/>
      </w:pPr>
      <w:r>
        <w:rPr>
          <w:rFonts w:cs="Times New Roman" w:ascii="Times New Roman" w:hAnsi="Times New Roman"/>
          <w:sz w:val="28"/>
          <w:szCs w:val="28"/>
        </w:rPr>
        <w:t>Конкурентный способ определения лица, с которым заключается договор на установку и эксплуатацию рекламной конструкции на территории муниципального образования, обеспечивает развитие и поддержание достигнутого уровня конкуренции на местном региональном уровне, а также способствует экономическому развитию муниципального образования.</w:t>
      </w:r>
    </w:p>
    <w:p>
      <w:pPr>
        <w:pStyle w:val="Normal"/>
        <w:spacing w:lineRule="auto" w:line="240" w:before="0" w:after="0"/>
        <w:ind w:firstLine="709"/>
        <w:jc w:val="both"/>
        <w:rPr/>
      </w:pPr>
      <w:r>
        <w:rPr>
          <w:rFonts w:cs="Times New Roman" w:ascii="Times New Roman" w:hAnsi="Times New Roman"/>
          <w:sz w:val="28"/>
          <w:szCs w:val="28"/>
        </w:rPr>
        <w:t>Форма и порядок проведения таких торгов устанавливаются организаторами торгов, исходя из общих положений о торгах, содержащихся в Гражданском кодексе Российской Федерации (статьи 447 — 449).</w:t>
      </w:r>
    </w:p>
    <w:p>
      <w:pPr>
        <w:pStyle w:val="Normal"/>
        <w:spacing w:lineRule="auto" w:line="240" w:before="0" w:after="0"/>
        <w:ind w:firstLine="709"/>
        <w:jc w:val="both"/>
        <w:rPr/>
      </w:pPr>
      <w:r>
        <w:rPr>
          <w:rFonts w:cs="Times New Roman" w:ascii="Times New Roman" w:hAnsi="Times New Roman"/>
          <w:sz w:val="28"/>
          <w:szCs w:val="28"/>
        </w:rPr>
        <w:t>При этом, учитывая, что указанные торги проводятся в соответствии с общими положениями о торгах, их организаторы вправе устанавливать любые критерии оценки предложений участников, не противоречащие положениям антимонопольного законодательства. Устанавливаемые критерии должны быть четкими и позволяющими дать объективную оценку предложениям участников конкурса.</w:t>
      </w:r>
    </w:p>
    <w:p>
      <w:pPr>
        <w:pStyle w:val="Normal"/>
        <w:spacing w:lineRule="auto" w:line="240" w:before="0" w:after="0"/>
        <w:ind w:firstLine="709"/>
        <w:jc w:val="both"/>
        <w:rPr/>
      </w:pPr>
      <w:r>
        <w:rPr>
          <w:rFonts w:cs="Times New Roman" w:ascii="Times New Roman" w:hAnsi="Times New Roman"/>
          <w:sz w:val="28"/>
          <w:szCs w:val="28"/>
        </w:rPr>
        <w:t>Одновременно, территориальными органами ФАС России выявлялись случаи отсутствия у органов местного самоуправления административных регламентов, устанавливающих порядок проведения торгов на территории муниципальных образований, что признавалось нарушением части 1 статьи 15 Закона о защите конкуренции.</w:t>
      </w:r>
    </w:p>
    <w:p>
      <w:pPr>
        <w:pStyle w:val="Normal"/>
        <w:spacing w:lineRule="auto" w:line="240" w:before="0" w:after="0"/>
        <w:ind w:firstLine="709"/>
        <w:jc w:val="both"/>
        <w:rPr/>
      </w:pPr>
      <w:r>
        <w:rPr>
          <w:rFonts w:cs="Times New Roman" w:ascii="Times New Roman" w:hAnsi="Times New Roman"/>
          <w:sz w:val="28"/>
          <w:szCs w:val="28"/>
        </w:rPr>
        <w:t>По мнению специалистов ФАС России, на основе общих положений о торгах орган местного самоуправления вправе принять локальный нормативный акт, в котором будет подробно изложена форма и процедура проведения торгов.</w:t>
      </w:r>
    </w:p>
    <w:p>
      <w:pPr>
        <w:pStyle w:val="Normal"/>
        <w:spacing w:lineRule="auto" w:line="240" w:before="0" w:after="0"/>
        <w:ind w:firstLine="709"/>
        <w:jc w:val="both"/>
        <w:rPr/>
      </w:pPr>
      <w:r>
        <w:rPr>
          <w:rFonts w:cs="Times New Roman" w:ascii="Times New Roman" w:hAnsi="Times New Roman"/>
          <w:sz w:val="28"/>
          <w:szCs w:val="28"/>
        </w:rPr>
        <w:t>Вместе с тем, важно отметить, что положения указанных локальных нормативных актов не должны противоречить законодательству Российской Федерации, в частности, статье 17 Закона о защите конкуренции, устанавливающей антимонопольные требования к торгам.</w:t>
      </w:r>
    </w:p>
    <w:p>
      <w:pPr>
        <w:pStyle w:val="Normal"/>
        <w:spacing w:lineRule="auto" w:line="240" w:before="0" w:after="0"/>
        <w:ind w:firstLine="709"/>
        <w:jc w:val="both"/>
        <w:rPr/>
      </w:pPr>
      <w:r>
        <w:rPr>
          <w:rFonts w:cs="Times New Roman" w:ascii="Times New Roman" w:hAnsi="Times New Roman"/>
          <w:sz w:val="28"/>
          <w:szCs w:val="28"/>
        </w:rPr>
        <w:t>При этом действующее законодательство Российской Федерации о рекламе не содержит единых требований для органов государственной власти, органов местного самоуправления муниципального района или органов местного самоуправления городского округа к принципу формирования лотов, порядку расчета размера платы по договору за размещение рекламных конструкций и порядку организации и проведения торгов на право заключения договора на установку и эксплуатацию рекламной конструкции на земельном участке, который находится в государственной собственности, муниципальной собственности или государственная собственность на который не разграничена, а также на здании или ином недвижимом имуществе, находящихся в собственности субъектов Российской Федерации или муниципальной собственности.</w:t>
      </w:r>
    </w:p>
    <w:p>
      <w:pPr>
        <w:pStyle w:val="Normal"/>
        <w:spacing w:lineRule="auto" w:line="240" w:before="0" w:after="0"/>
        <w:ind w:firstLine="709"/>
        <w:jc w:val="both"/>
        <w:rPr/>
      </w:pPr>
      <w:r>
        <w:rPr>
          <w:rFonts w:cs="Times New Roman" w:ascii="Times New Roman" w:hAnsi="Times New Roman"/>
          <w:sz w:val="28"/>
          <w:szCs w:val="28"/>
        </w:rPr>
        <w:t xml:space="preserve">Таким образом, орган государственной власти или орган местного самоуправления вправе самостоятельно разработать и утвердить свой порядок (правила) проведения торгов на право заключения договора на установку и эксплуатацию рекламных конструкций, а также определить собственные способы формирования лотов и методику расчета размера платы по договору за размещение рекламной конструкции. </w:t>
      </w:r>
    </w:p>
    <w:p>
      <w:pPr>
        <w:pStyle w:val="Normal"/>
        <w:spacing w:lineRule="auto" w:line="240" w:before="0" w:after="0"/>
        <w:ind w:firstLine="709"/>
        <w:jc w:val="both"/>
        <w:rPr/>
      </w:pPr>
      <w:r>
        <w:rPr>
          <w:rFonts w:cs="Times New Roman" w:ascii="Times New Roman" w:hAnsi="Times New Roman"/>
          <w:sz w:val="28"/>
          <w:szCs w:val="28"/>
        </w:rPr>
        <w:t>Кроме того, действующее законодательство Российской Федерации о рекламе и антимонопольное законодательство не предусматривают возможности передачи лицам, ранее установившим рекламные конструкции, преимущественного права участия в торгах и (или) права на заключение договоров на установку и эксплуатацию рекламных конструкций в преимущественном порядке.</w:t>
      </w:r>
    </w:p>
    <w:p>
      <w:pPr>
        <w:pStyle w:val="Normal"/>
        <w:spacing w:lineRule="auto" w:line="240" w:before="0" w:after="0"/>
        <w:ind w:firstLine="709"/>
        <w:jc w:val="both"/>
        <w:rPr/>
      </w:pPr>
      <w:r>
        <w:rPr>
          <w:rFonts w:cs="Times New Roman" w:ascii="Times New Roman" w:hAnsi="Times New Roman"/>
          <w:sz w:val="28"/>
          <w:szCs w:val="28"/>
        </w:rPr>
        <w:t>Процедура проведения торгов на право установки и эксплуатации рекламных конструкций, предусмотренная российским законодательством о рекламе, направлена на развитие и поддержание рыночной экономики и конкурентных отношений в сфере наружной рекламы на территории регионов Российской Федерации, обеспечивает недискриминационные (равные) условия доступа всех участников экономических отношений, осуществляющих предпринимательскую деятельность в сфере наружной рекламы, снижает барьеры входа в данную сферу экономической деятельности и вероятность создания в данном секторе экономики региона Российской Федерации условий недопущения, ограничения, устранения конкуренции.</w:t>
      </w:r>
    </w:p>
    <w:p>
      <w:pPr>
        <w:pStyle w:val="Normal"/>
        <w:spacing w:lineRule="auto" w:line="240" w:before="0" w:after="0"/>
        <w:ind w:firstLine="709"/>
        <w:jc w:val="both"/>
        <w:rPr/>
      </w:pPr>
      <w:r>
        <w:rPr>
          <w:rFonts w:cs="Times New Roman" w:ascii="Times New Roman" w:hAnsi="Times New Roman"/>
          <w:sz w:val="28"/>
          <w:szCs w:val="28"/>
        </w:rPr>
        <w:t>Проведение торгов на рекламные конструкции с условиями, ограничивающими доступ к участию в торгах и (или) создающими участнику или участникам торгов преимущественные условия в таких торгах, может служить основанием для проведения антимонопольным органом проверки действий организатора торгов на соответствие требованиям антимонопольного законодательства Российской Федерации (статьи 15, 17, 18.1 Закона о защите конкуренции).</w:t>
      </w:r>
    </w:p>
    <w:p>
      <w:pPr>
        <w:pStyle w:val="Normal"/>
        <w:spacing w:lineRule="auto" w:line="240" w:before="0" w:after="0"/>
        <w:ind w:firstLine="709"/>
        <w:jc w:val="both"/>
        <w:rPr/>
      </w:pPr>
      <w:r>
        <w:rPr>
          <w:rFonts w:cs="Times New Roman" w:ascii="Times New Roman" w:hAnsi="Times New Roman"/>
          <w:sz w:val="28"/>
          <w:szCs w:val="28"/>
        </w:rPr>
        <w:t xml:space="preserve">ФАС России также обращает внимание, что согласно части 4 статьи 17 Закона о защите конкуренции антимонопольный орган вправе обратиться в суд с иском о признании торгов и заключенных по результатам таких торгов сделок недействительными при условии, что проведение таких торгов является обязательным в соответствии с законодательством Российской Федерации. </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xml:space="preserve">По результатам проведенного территориальными органами ФАС России анализа положений </w:t>
      </w:r>
      <w:r>
        <w:rPr>
          <w:rFonts w:cs="Times New Roman" w:ascii="Times New Roman" w:hAnsi="Times New Roman"/>
          <w:sz w:val="28"/>
          <w:szCs w:val="28"/>
        </w:rPr>
        <w:t>Порядков (правил) проведения торгов на право заключения договора на установку и эксплуатацию рекламных конструкций</w:t>
      </w:r>
      <w:r>
        <w:rPr>
          <w:rFonts w:eastAsia="Times New Roman" w:cs="Times New Roman" w:ascii="Times New Roman" w:hAnsi="Times New Roman"/>
          <w:sz w:val="28"/>
          <w:szCs w:val="28"/>
          <w:lang w:eastAsia="ru-RU"/>
        </w:rPr>
        <w:t xml:space="preserve"> на территориях муниципальных образований выявил, что ряд пунктов </w:t>
      </w:r>
      <w:r>
        <w:rPr>
          <w:rFonts w:cs="Times New Roman" w:ascii="Times New Roman" w:hAnsi="Times New Roman"/>
          <w:sz w:val="28"/>
          <w:szCs w:val="28"/>
        </w:rPr>
        <w:t>Порядков (правил)</w:t>
      </w:r>
      <w:r>
        <w:rPr>
          <w:rFonts w:eastAsia="Times New Roman" w:cs="Times New Roman" w:ascii="Times New Roman" w:hAnsi="Times New Roman"/>
          <w:sz w:val="28"/>
          <w:szCs w:val="28"/>
          <w:lang w:eastAsia="ru-RU"/>
        </w:rPr>
        <w:t xml:space="preserve"> могут содержать в себе признаки нарушения антимонопольного законодательства, в частности статьи 15 Закона о защите конкуренции, выражающиеся в:</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необоснованном препятствовании осуществлению деятельности хозяйствующими субъектами, в том числе путем установления не предусмотренных законодательством Российской Федерации требований к товарам или к хозяйствующим субъектам;</w:t>
      </w:r>
    </w:p>
    <w:p>
      <w:pPr>
        <w:pStyle w:val="Normal"/>
        <w:spacing w:lineRule="auto" w:line="240" w:before="0" w:after="0"/>
        <w:ind w:firstLine="709"/>
        <w:jc w:val="both"/>
        <w:rPr/>
      </w:pPr>
      <w:r>
        <w:rPr>
          <w:rFonts w:eastAsia="Times New Roman" w:cs="Times New Roman" w:ascii="Times New Roman" w:hAnsi="Times New Roman"/>
          <w:sz w:val="28"/>
          <w:szCs w:val="28"/>
          <w:lang w:eastAsia="ru-RU"/>
        </w:rPr>
        <w:t>- даче хозяйствующим субъектам указаний о первоочередных поставках товаров для определенной категории покупателей (заказчиков) или о заключении в приоритетном порядке договоров.</w:t>
      </w:r>
    </w:p>
    <w:p>
      <w:pPr>
        <w:pStyle w:val="Normal"/>
        <w:spacing w:lineRule="auto" w:line="240" w:before="0" w:after="0"/>
        <w:ind w:firstLine="709"/>
        <w:jc w:val="both"/>
        <w:rPr>
          <w:rFonts w:ascii="Times New Roman" w:hAnsi="Times New Roman"/>
        </w:rPr>
      </w:pPr>
      <w:r>
        <w:rPr>
          <w:rFonts w:eastAsia="Times New Roman" w:cs="Times New Roman" w:ascii="Times New Roman" w:hAnsi="Times New Roman"/>
          <w:sz w:val="28"/>
          <w:szCs w:val="28"/>
          <w:lang w:eastAsia="ru-RU"/>
        </w:rPr>
        <w:t>Учитывая данные обстоятельства и в целях предупреждения нарушения антимонопольного законодательства, ФАС России обращает внимание, что органам местного самоуправления муниципальных районов и органам местного самоуправления городских округов муниципальных образований в случае разработки и утверждения ими Положений о порядке установки и эксплуатации рекламных конструкций и средств размещения информации на территории соответствующих муниципальных образований, недопустимо включение в них положений, которые могут содержать в себе признаки нарушения антимонопольного законодательства и законодательства Российской Федерации о рекламе.</w:t>
      </w:r>
    </w:p>
    <w:p>
      <w:pPr>
        <w:pStyle w:val="Normal"/>
        <w:spacing w:lineRule="auto" w:line="240" w:before="0" w:after="0"/>
        <w:ind w:firstLine="709"/>
        <w:jc w:val="both"/>
        <w:rPr>
          <w:rFonts w:eastAsia="Times New Roman" w:cs="Times New Roman"/>
          <w:sz w:val="28"/>
          <w:szCs w:val="28"/>
          <w:lang w:eastAsia="ru-RU"/>
        </w:rPr>
      </w:pPr>
      <w:r>
        <w:rPr>
          <w:rFonts w:eastAsia="Times New Roman" w:cs="Times New Roman"/>
          <w:sz w:val="28"/>
          <w:szCs w:val="28"/>
          <w:lang w:eastAsia="ru-RU"/>
        </w:rPr>
      </w:r>
    </w:p>
    <w:p>
      <w:pPr>
        <w:pStyle w:val="NormalWeb"/>
        <w:spacing w:before="0" w:after="0"/>
        <w:ind w:firstLine="709"/>
        <w:jc w:val="both"/>
        <w:rPr/>
      </w:pPr>
      <w:r>
        <w:rPr>
          <w:b/>
          <w:sz w:val="28"/>
          <w:szCs w:val="28"/>
        </w:rPr>
        <w:t xml:space="preserve">Б) Нарушения статьи 16 </w:t>
      </w:r>
      <w:r>
        <w:rPr>
          <w:b/>
          <w:color w:val="000000"/>
          <w:sz w:val="28"/>
          <w:szCs w:val="28"/>
          <w:shd w:fill="FFFFFF" w:val="clear"/>
        </w:rPr>
        <w:t>Закона о защите конкуренции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both"/>
        <w:rPr/>
      </w:pPr>
      <w:r>
        <w:rPr>
          <w:rFonts w:cs="Times New Roman" w:ascii="Times New Roman" w:hAnsi="Times New Roman"/>
          <w:color w:val="000000" w:themeColor="text1"/>
          <w:sz w:val="28"/>
          <w:szCs w:val="28"/>
        </w:rPr>
        <w:t>Статья 16 Закона о защите конкуренции запрещает соглашения между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ЦБ РФ (далее - органы власти) или между ними и хозяйствующими субъектами либо осуществление этими органами и организациями согласованных действий, если такие соглашения или такое осуществление согласованных действий приводят или могут привести к недопущению, ограничению, устранению конкуренции.</w:t>
      </w:r>
    </w:p>
    <w:p>
      <w:pPr>
        <w:pStyle w:val="Normal"/>
        <w:spacing w:lineRule="auto" w:line="240" w:before="0" w:after="0"/>
        <w:ind w:firstLine="709"/>
        <w:jc w:val="both"/>
        <w:rPr/>
      </w:pPr>
      <w:r>
        <w:rPr>
          <w:rFonts w:cs="Times New Roman" w:ascii="Times New Roman" w:hAnsi="Times New Roman"/>
          <w:color w:val="000000" w:themeColor="text1"/>
          <w:sz w:val="28"/>
          <w:szCs w:val="28"/>
        </w:rPr>
        <w:t>Статья 16 Закона о защите конкуренции устанавливает виды антиконкурентных соглашений (или согласованных действий) в зависимости от наступающих последствий, перечень которых является открытым.</w:t>
      </w:r>
    </w:p>
    <w:p>
      <w:pPr>
        <w:pStyle w:val="Normal"/>
        <w:spacing w:lineRule="auto" w:line="240" w:before="0" w:after="0"/>
        <w:ind w:firstLine="709"/>
        <w:jc w:val="both"/>
        <w:rPr/>
      </w:pPr>
      <w:r>
        <w:rPr>
          <w:rFonts w:cs="Times New Roman" w:ascii="Times New Roman" w:hAnsi="Times New Roman"/>
          <w:color w:val="000000" w:themeColor="text1"/>
          <w:sz w:val="28"/>
          <w:szCs w:val="28"/>
        </w:rPr>
        <w:t xml:space="preserve">Так, </w:t>
      </w:r>
      <w:hyperlink r:id="rId8">
        <w:r>
          <w:rPr>
            <w:rStyle w:val="Style20"/>
            <w:rFonts w:cs="Times New Roman" w:ascii="Times New Roman" w:hAnsi="Times New Roman"/>
            <w:color w:val="000000" w:themeColor="text1"/>
            <w:sz w:val="28"/>
            <w:szCs w:val="28"/>
          </w:rPr>
          <w:t>п. п. 1</w:t>
        </w:r>
      </w:hyperlink>
      <w:r>
        <w:rPr>
          <w:rFonts w:cs="Times New Roman" w:ascii="Times New Roman" w:hAnsi="Times New Roman"/>
          <w:color w:val="000000" w:themeColor="text1"/>
          <w:sz w:val="28"/>
          <w:szCs w:val="28"/>
        </w:rPr>
        <w:t xml:space="preserve"> - </w:t>
      </w:r>
      <w:hyperlink r:id="rId9">
        <w:r>
          <w:rPr>
            <w:rStyle w:val="Style20"/>
            <w:rFonts w:cs="Times New Roman" w:ascii="Times New Roman" w:hAnsi="Times New Roman"/>
            <w:color w:val="000000" w:themeColor="text1"/>
            <w:sz w:val="28"/>
            <w:szCs w:val="28"/>
          </w:rPr>
          <w:t>4</w:t>
        </w:r>
      </w:hyperlink>
      <w:r>
        <w:rPr>
          <w:rFonts w:cs="Times New Roman" w:ascii="Times New Roman" w:hAnsi="Times New Roman"/>
          <w:color w:val="000000" w:themeColor="text1"/>
          <w:sz w:val="28"/>
          <w:szCs w:val="28"/>
        </w:rPr>
        <w:t xml:space="preserve"> статьи 16 Закона о защите конкуренции предусматривают следующие виды антиконкурентных соглашений (или согласованных действий), разграничение которых проводится в зависимости от наступающих последствий:</w:t>
      </w:r>
    </w:p>
    <w:p>
      <w:pPr>
        <w:pStyle w:val="Normal"/>
        <w:spacing w:lineRule="auto" w:line="240" w:before="0" w:after="0"/>
        <w:ind w:firstLine="709"/>
        <w:jc w:val="both"/>
        <w:rPr/>
      </w:pPr>
      <w:r>
        <w:rPr>
          <w:rFonts w:cs="Times New Roman" w:ascii="Times New Roman" w:hAnsi="Times New Roman"/>
          <w:color w:val="000000" w:themeColor="text1"/>
          <w:sz w:val="28"/>
          <w:szCs w:val="28"/>
        </w:rPr>
        <w:t>1) повышение, снижение или поддержание цен (тарифов), за исключением случаев, если такие соглашения предусмотрены федеральными законами или нормативными правовыми актами Президента Российской Федерации, нормативными правовыми актами Правительства Российской Федерации;</w:t>
      </w:r>
    </w:p>
    <w:p>
      <w:pPr>
        <w:pStyle w:val="Normal"/>
        <w:spacing w:lineRule="auto" w:line="240" w:before="0" w:after="0"/>
        <w:ind w:firstLine="709"/>
        <w:jc w:val="both"/>
        <w:rPr/>
      </w:pPr>
      <w:r>
        <w:rPr>
          <w:rFonts w:cs="Times New Roman" w:ascii="Times New Roman" w:hAnsi="Times New Roman"/>
          <w:color w:val="000000" w:themeColor="text1"/>
          <w:sz w:val="28"/>
          <w:szCs w:val="28"/>
        </w:rPr>
        <w:t>2) экономически, технологически и иным образом не обоснованное установление различных цен (тарифов) на один и тот же товар;</w:t>
      </w:r>
    </w:p>
    <w:p>
      <w:pPr>
        <w:pStyle w:val="Normal"/>
        <w:spacing w:lineRule="auto" w:line="240" w:before="0" w:after="0"/>
        <w:ind w:firstLine="709"/>
        <w:jc w:val="both"/>
        <w:rPr/>
      </w:pPr>
      <w:r>
        <w:rPr>
          <w:rFonts w:cs="Times New Roman" w:ascii="Times New Roman" w:hAnsi="Times New Roman"/>
          <w:color w:val="000000" w:themeColor="text1"/>
          <w:sz w:val="28"/>
          <w:szCs w:val="28"/>
        </w:rPr>
        <w:t>3) раздел товарного рынка по территориальному принципу, объему продажи или покупки товаров, ассортименту реализуемых товаров либо по составу продавцов или покупателей (заказчиков);</w:t>
      </w:r>
    </w:p>
    <w:p>
      <w:pPr>
        <w:pStyle w:val="Normal"/>
        <w:spacing w:lineRule="auto" w:line="240" w:before="0" w:after="0"/>
        <w:ind w:firstLine="709"/>
        <w:jc w:val="both"/>
        <w:rPr/>
      </w:pPr>
      <w:r>
        <w:rPr>
          <w:rFonts w:cs="Times New Roman" w:ascii="Times New Roman" w:hAnsi="Times New Roman"/>
          <w:color w:val="000000" w:themeColor="text1"/>
          <w:sz w:val="28"/>
          <w:szCs w:val="28"/>
        </w:rPr>
        <w:t>4) ограничение доступа на товарный рынок, выхода из товарного рынка или устранению с него хозяйствующих субъектов.</w:t>
      </w:r>
    </w:p>
    <w:p>
      <w:pPr>
        <w:pStyle w:val="Normal"/>
        <w:spacing w:lineRule="auto" w:line="240" w:before="0" w:after="0"/>
        <w:ind w:firstLine="709"/>
        <w:jc w:val="both"/>
        <w:rPr/>
      </w:pPr>
      <w:r>
        <w:rPr>
          <w:rFonts w:cs="Times New Roman" w:ascii="Times New Roman" w:hAnsi="Times New Roman"/>
          <w:sz w:val="28"/>
          <w:szCs w:val="28"/>
        </w:rPr>
        <w:t>Под соглашением согласно пункту 18 статьи 4 Закона о защите конкуренции понимается договоренность в письменной форме, содержащаяся в документе или нескольких документах, а также договоренность в устной форме.</w:t>
      </w:r>
    </w:p>
    <w:p>
      <w:pPr>
        <w:pStyle w:val="Normal"/>
        <w:spacing w:lineRule="auto" w:line="240" w:before="0" w:after="0"/>
        <w:ind w:firstLine="709"/>
        <w:jc w:val="both"/>
        <w:rPr/>
      </w:pPr>
      <w:r>
        <w:rPr>
          <w:rFonts w:cs="Times New Roman" w:ascii="Times New Roman" w:hAnsi="Times New Roman"/>
          <w:sz w:val="28"/>
          <w:szCs w:val="28"/>
        </w:rPr>
        <w:t>Анализ норм права позволяет сделать вывод, что соглашения, которые приводят или могут привести к ограничению доступа на товарный рынок хозяйствующих субъектов могут быть совершены как в письменной, так и в устной форме.</w:t>
      </w:r>
    </w:p>
    <w:p>
      <w:pPr>
        <w:pStyle w:val="Normal"/>
        <w:spacing w:lineRule="auto" w:line="240" w:before="0" w:after="0"/>
        <w:ind w:firstLine="709"/>
        <w:jc w:val="both"/>
        <w:rPr/>
      </w:pPr>
      <w:r>
        <w:rPr>
          <w:rFonts w:cs="Times New Roman" w:ascii="Times New Roman" w:hAnsi="Times New Roman"/>
          <w:color w:val="000000" w:themeColor="text1"/>
          <w:sz w:val="28"/>
          <w:szCs w:val="28"/>
        </w:rPr>
        <w:t xml:space="preserve">Наиболее распространенные нарушения </w:t>
      </w:r>
      <w:hyperlink r:id="rId10">
        <w:r>
          <w:rPr>
            <w:rStyle w:val="Style20"/>
            <w:rFonts w:cs="Times New Roman" w:ascii="Times New Roman" w:hAnsi="Times New Roman"/>
            <w:color w:val="000000" w:themeColor="text1"/>
            <w:sz w:val="28"/>
            <w:szCs w:val="28"/>
          </w:rPr>
          <w:t>статьи 16</w:t>
        </w:r>
      </w:hyperlink>
      <w:r>
        <w:rPr>
          <w:rFonts w:cs="Times New Roman" w:ascii="Times New Roman" w:hAnsi="Times New Roman"/>
          <w:color w:val="000000" w:themeColor="text1"/>
          <w:sz w:val="28"/>
          <w:szCs w:val="28"/>
        </w:rPr>
        <w:t xml:space="preserve"> Закона о защите конкуренции состоят в следующем - чаще всего достижение антиконкурентных соглашений напрямую связано с нарушением конкурентных процедур.</w:t>
      </w:r>
    </w:p>
    <w:p>
      <w:pPr>
        <w:pStyle w:val="Normal"/>
        <w:spacing w:lineRule="auto" w:line="240" w:before="0" w:after="0"/>
        <w:ind w:firstLine="709"/>
        <w:jc w:val="both"/>
        <w:rPr/>
      </w:pPr>
      <w:r>
        <w:rPr>
          <w:rFonts w:cs="Times New Roman" w:ascii="Times New Roman" w:hAnsi="Times New Roman"/>
          <w:color w:val="000000" w:themeColor="text1"/>
          <w:sz w:val="28"/>
          <w:szCs w:val="28"/>
        </w:rPr>
        <w:t>Нарушение конкурентных процедур может выражаться в непредоставлении потенциальным поставщикам (исполнителям) всей необходимой информации.</w:t>
      </w:r>
    </w:p>
    <w:p>
      <w:pPr>
        <w:pStyle w:val="Normal"/>
        <w:spacing w:lineRule="auto" w:line="240" w:before="0" w:after="0"/>
        <w:ind w:firstLine="709"/>
        <w:jc w:val="both"/>
        <w:rPr/>
      </w:pPr>
      <w:r>
        <w:rPr>
          <w:rFonts w:cs="Times New Roman" w:ascii="Times New Roman" w:hAnsi="Times New Roman"/>
          <w:color w:val="000000" w:themeColor="text1"/>
          <w:sz w:val="28"/>
          <w:szCs w:val="28"/>
        </w:rPr>
        <w:t>В некоторых случаях аукцион подготавливается под конкретного исполнителя. Это может выражаться в наличии предварительных договоренностей по его подготовке.</w:t>
      </w:r>
    </w:p>
    <w:p>
      <w:pPr>
        <w:pStyle w:val="Normal"/>
        <w:spacing w:lineRule="auto" w:line="240" w:before="0" w:after="0"/>
        <w:ind w:firstLine="709"/>
        <w:jc w:val="both"/>
        <w:rPr/>
      </w:pPr>
      <w:r>
        <w:rPr>
          <w:rFonts w:cs="Times New Roman" w:ascii="Times New Roman" w:hAnsi="Times New Roman"/>
          <w:color w:val="000000" w:themeColor="text1"/>
          <w:sz w:val="28"/>
          <w:szCs w:val="28"/>
        </w:rPr>
        <w:t>В некоторых ситуациях согласованность действий субъектов выражается в том, что по предварительным договоренностям в аукционе принимают участие организации, являющиеся аффилированными лицами, чем искусственно создается видимость конкурса.</w:t>
      </w:r>
    </w:p>
    <w:p>
      <w:pPr>
        <w:pStyle w:val="Normal"/>
        <w:spacing w:lineRule="auto" w:line="240" w:before="0" w:after="0"/>
        <w:ind w:firstLine="709"/>
        <w:jc w:val="both"/>
        <w:rPr>
          <w:rFonts w:ascii="Times New Roman" w:hAnsi="Times New Roman"/>
        </w:rPr>
      </w:pPr>
      <w:r>
        <w:rPr>
          <w:rFonts w:eastAsia="Times New Roman" w:cs="Times New Roman" w:ascii="Times New Roman" w:hAnsi="Times New Roman"/>
          <w:color w:val="000000" w:themeColor="text1"/>
          <w:sz w:val="28"/>
          <w:szCs w:val="28"/>
          <w:lang w:eastAsia="ru-RU"/>
        </w:rPr>
        <w:t>Между тем, безусловно, в большинстве случаев заключение антиконкурентных соглашений происходит для достижения неправомерных целей - получения бюджетных средств, личных выгод, предоставления преимуществ одним субъектам перед другими, сохранения устоявшихся хозяйственных связей.</w:t>
      </w:r>
    </w:p>
    <w:p>
      <w:pPr>
        <w:pStyle w:val="Normal"/>
        <w:spacing w:lineRule="auto" w:line="240" w:before="0" w:after="0"/>
        <w:ind w:firstLine="709"/>
        <w:jc w:val="both"/>
        <w:rPr>
          <w:rFonts w:eastAsia="Times New Roman" w:cs="Times New Roman"/>
          <w:color w:val="000000" w:themeColor="text1"/>
          <w:sz w:val="28"/>
          <w:szCs w:val="28"/>
          <w:lang w:eastAsia="ru-RU"/>
        </w:rPr>
      </w:pPr>
      <w:r>
        <w:rPr>
          <w:rFonts w:eastAsia="Times New Roman" w:cs="Times New Roman"/>
          <w:color w:val="000000" w:themeColor="text1"/>
          <w:sz w:val="28"/>
          <w:szCs w:val="28"/>
          <w:lang w:eastAsia="ru-RU"/>
        </w:rPr>
      </w:r>
    </w:p>
    <w:p>
      <w:pPr>
        <w:pStyle w:val="NormalWeb"/>
        <w:spacing w:before="0" w:after="0"/>
        <w:ind w:firstLine="709"/>
        <w:jc w:val="both"/>
        <w:rPr/>
      </w:pPr>
      <w:r>
        <w:rPr>
          <w:b/>
          <w:sz w:val="28"/>
          <w:szCs w:val="28"/>
        </w:rPr>
        <w:t xml:space="preserve">В) Нарушения статьи 17 </w:t>
      </w:r>
      <w:r>
        <w:rPr>
          <w:b/>
          <w:color w:val="000000"/>
          <w:sz w:val="28"/>
          <w:szCs w:val="28"/>
          <w:shd w:fill="FFFFFF" w:val="clear"/>
        </w:rPr>
        <w:t>Закона о защите конкуренции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pPr>
      <w:r>
        <w:rPr>
          <w:rFonts w:cs="Times New Roman" w:ascii="Times New Roman" w:hAnsi="Times New Roman"/>
          <w:sz w:val="28"/>
          <w:szCs w:val="28"/>
        </w:rPr>
        <w:t xml:space="preserve">Частью 1 статьи 17 Закона о защите конкуренции установлен запрет на действия, которые приводят или могут привести к недопущению, ограничению или устранению конкуренции при проведении торгов, запроса котировок цен на товары, запроса предложений. </w:t>
      </w:r>
    </w:p>
    <w:p>
      <w:pPr>
        <w:pStyle w:val="Normal"/>
        <w:spacing w:lineRule="auto" w:line="240" w:before="0" w:after="0"/>
        <w:ind w:firstLine="709"/>
        <w:jc w:val="both"/>
        <w:rPr>
          <w:rFonts w:ascii="Times New Roman" w:hAnsi="Times New Roman"/>
        </w:rPr>
      </w:pPr>
      <w:r>
        <w:rPr>
          <w:rFonts w:eastAsia="Times New Roman" w:cs="Times New Roman" w:ascii="Times New Roman" w:hAnsi="Times New Roman"/>
          <w:color w:val="000000" w:themeColor="text1"/>
          <w:sz w:val="28"/>
          <w:szCs w:val="28"/>
          <w:lang w:eastAsia="ru-RU"/>
        </w:rPr>
        <w:t>Так, в силу части 1 статьи 17 Закона о защите конкуренции при проведении торгов, запроса котировок цен на товары, запроса предложений запрещаются действия, которые приводят или могут привести к недопущению, ограничению или устранению конкуренции, в том числе: координация организаторами торгов, запроса котировок, запроса предложений или заказчиками деятельности их участников;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 нарушение порядка определения победителя или победителей торгов, запроса котировок, запроса предложений; участие организаторов торгов, запроса котировок, запроса предложений или заказчиков и(или) работников организаторов или работников заказчиков в торгах, запросе котировок, запросе предложений.</w:t>
      </w:r>
    </w:p>
    <w:p>
      <w:pPr>
        <w:pStyle w:val="Normal"/>
        <w:spacing w:lineRule="auto" w:line="240" w:before="0" w:after="0"/>
        <w:ind w:firstLine="709"/>
        <w:jc w:val="both"/>
        <w:rPr>
          <w:rFonts w:eastAsia="Times New Roman" w:cs="Times New Roman"/>
          <w:color w:val="000000" w:themeColor="text1"/>
          <w:sz w:val="28"/>
          <w:szCs w:val="28"/>
          <w:lang w:eastAsia="ru-RU"/>
        </w:rPr>
      </w:pPr>
      <w:r>
        <w:rPr>
          <w:rFonts w:eastAsia="Times New Roman" w:cs="Times New Roman"/>
          <w:color w:val="000000" w:themeColor="text1"/>
          <w:sz w:val="28"/>
          <w:szCs w:val="28"/>
          <w:lang w:eastAsia="ru-RU"/>
        </w:rPr>
      </w:r>
    </w:p>
    <w:p>
      <w:pPr>
        <w:pStyle w:val="NormalWeb"/>
        <w:spacing w:before="0" w:after="0"/>
        <w:ind w:firstLine="709"/>
        <w:jc w:val="both"/>
        <w:rPr/>
      </w:pPr>
      <w:r>
        <w:rPr>
          <w:b/>
          <w:sz w:val="28"/>
          <w:szCs w:val="28"/>
        </w:rPr>
        <w:t xml:space="preserve">Г) Нарушения статьи 18.1 </w:t>
      </w:r>
      <w:r>
        <w:rPr>
          <w:b/>
          <w:color w:val="000000"/>
          <w:sz w:val="28"/>
          <w:szCs w:val="28"/>
          <w:shd w:fill="FFFFFF" w:val="clear"/>
        </w:rPr>
        <w:t>Закона о защите конкуренции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 xml:space="preserve">Антимонопольный орган, в соответствии со статьей 18.1 Закона о защите конкуренции, </w:t>
      </w:r>
      <w:r>
        <w:rPr>
          <w:rFonts w:eastAsia="Times New Roman" w:cs="Times New Roman" w:ascii="Times New Roman" w:hAnsi="Times New Roman"/>
          <w:b/>
          <w:color w:val="000000"/>
          <w:sz w:val="28"/>
          <w:szCs w:val="28"/>
          <w:lang w:eastAsia="ru-RU"/>
        </w:rPr>
        <w:t>рассматривает жалобы на действия (бездействие) организатора торгов</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color w:val="000000"/>
          <w:sz w:val="28"/>
          <w:szCs w:val="28"/>
          <w:lang w:eastAsia="ru-RU"/>
        </w:rPr>
        <w:t>оператора электронной площадки, конкурсной или аукционной комиссии</w:t>
      </w:r>
      <w:r>
        <w:rPr>
          <w:rFonts w:eastAsia="Times New Roman" w:cs="Times New Roman" w:ascii="Times New Roman" w:hAnsi="Times New Roman"/>
          <w:color w:val="000000"/>
          <w:sz w:val="28"/>
          <w:szCs w:val="28"/>
          <w:lang w:eastAsia="ru-RU"/>
        </w:rPr>
        <w:t>.</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В соответствии с пунктом 1 части 1 статьи 18.1 Закона о защите конкуренции антимонопольный орган рассматривает жалобы, в том числе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 или в случае, если торги, проведение которых является обязательным в соответствии с законодательством Российской Федерации, признаны несостоявшимися.</w:t>
      </w:r>
    </w:p>
    <w:p>
      <w:pPr>
        <w:pStyle w:val="Normal"/>
        <w:spacing w:lineRule="auto" w:line="240" w:before="0" w:after="0"/>
        <w:ind w:firstLine="709"/>
        <w:jc w:val="both"/>
        <w:rPr/>
      </w:pPr>
      <w:r>
        <w:rPr>
          <w:rFonts w:cs="Times New Roman" w:ascii="Times New Roman" w:hAnsi="Times New Roman"/>
          <w:sz w:val="28"/>
          <w:szCs w:val="28"/>
        </w:rPr>
        <w:t>Согласно части 5 статьи 18.1 Закона о защите конкуренции в случае, если заключение договора не осуществлено по результатам торгов, то обжалование действий (бездействия) организатора торгов, оператора электронной площадки, конкурсной или аукционной комиссии допускается в антимонопольный орган в порядке, установленном статьей 18.1 Закона о защите конкуренции.</w:t>
      </w:r>
    </w:p>
    <w:p>
      <w:pPr>
        <w:pStyle w:val="Normal"/>
        <w:spacing w:lineRule="auto" w:line="240" w:before="0" w:after="0"/>
        <w:ind w:firstLine="709"/>
        <w:jc w:val="both"/>
        <w:rPr/>
      </w:pPr>
      <w:r>
        <w:rPr>
          <w:rFonts w:cs="Times New Roman" w:ascii="Times New Roman" w:hAnsi="Times New Roman"/>
          <w:sz w:val="28"/>
          <w:szCs w:val="28"/>
        </w:rPr>
        <w:t xml:space="preserve">Частью 20 статьи 18.1 Закона о защите конкуренции предусмотрено, что по результатам рассмотрения жалобы по существу комиссия антимонопольного органа принимает решение о признании жалобы обоснованной или необоснованной и в случае, если жалоба признана обоснованной, либо в случае установления иных не являющихся предметом обжалования нарушений (нарушений порядка организации и проведения торгов, заключения договоров по результатам торгов или в случае признания торгов несостоявшимися) </w:t>
      </w:r>
      <w:r>
        <w:rPr>
          <w:rFonts w:cs="Times New Roman" w:ascii="Times New Roman" w:hAnsi="Times New Roman"/>
          <w:b/>
          <w:sz w:val="28"/>
          <w:szCs w:val="28"/>
        </w:rPr>
        <w:t>принимает решение о необходимости выдачи предписания</w:t>
      </w:r>
      <w:r>
        <w:rPr>
          <w:rFonts w:cs="Times New Roman" w:ascii="Times New Roman" w:hAnsi="Times New Roman"/>
          <w:sz w:val="28"/>
          <w:szCs w:val="28"/>
        </w:rPr>
        <w:t>, предусмотренного пунктом 3.1 части 1 статьи 23 Закона о защите конкуренции.</w:t>
      </w:r>
    </w:p>
    <w:p>
      <w:pPr>
        <w:pStyle w:val="Normal"/>
        <w:spacing w:lineRule="auto" w:line="240" w:before="0" w:after="0"/>
        <w:ind w:firstLine="709"/>
        <w:jc w:val="both"/>
        <w:rPr/>
      </w:pPr>
      <w:r>
        <w:rPr>
          <w:rFonts w:cs="Times New Roman" w:ascii="Times New Roman" w:hAnsi="Times New Roman"/>
          <w:sz w:val="28"/>
          <w:szCs w:val="28"/>
        </w:rPr>
        <w:t xml:space="preserve">Согласно пункту 3.1 части 1 статьи 23 Закона о защите конкуренции по результатам рассмотрения соответствующих жалоб в случаях выявления нарушений антимонопольный орган выдает организатору торгов, конкурсной или аукционной комиссии, продавцу государственного или муниципального имущества, организатору продажи обязательные для исполнения предписания, </w:t>
      </w:r>
      <w:r>
        <w:rPr>
          <w:rFonts w:cs="Times New Roman" w:ascii="Times New Roman" w:hAnsi="Times New Roman"/>
          <w:b/>
          <w:sz w:val="28"/>
          <w:szCs w:val="28"/>
        </w:rPr>
        <w:t>в том числе об аннулировании торгов</w:t>
      </w:r>
      <w:r>
        <w:rPr>
          <w:rFonts w:cs="Times New Roman" w:ascii="Times New Roman" w:hAnsi="Times New Roman"/>
          <w:sz w:val="28"/>
          <w:szCs w:val="28"/>
        </w:rPr>
        <w:t>.</w:t>
      </w:r>
    </w:p>
    <w:p>
      <w:pPr>
        <w:pStyle w:val="Normal"/>
        <w:spacing w:lineRule="auto" w:line="240" w:before="0" w:after="0"/>
        <w:ind w:firstLine="709"/>
        <w:jc w:val="both"/>
        <w:rPr/>
      </w:pPr>
      <w:r>
        <w:rPr>
          <w:rFonts w:cs="Times New Roman" w:ascii="Times New Roman" w:hAnsi="Times New Roman"/>
          <w:sz w:val="28"/>
          <w:szCs w:val="28"/>
        </w:rPr>
        <w:t>Учитывая изложенное, антимонопольный орган по результатам рассмотрения жалоб вправе выдавать предписания, предусмотренные пунктом 3.1 части 1 статьи 23 Закона о защите конкуренции, в случае если до принятия решения антимонопольному органу достоверно не известно о факте заключения договора по результатам торгов.</w:t>
      </w:r>
    </w:p>
    <w:p>
      <w:pPr>
        <w:pStyle w:val="Normal"/>
        <w:spacing w:lineRule="auto" w:line="240" w:before="0" w:after="0"/>
        <w:ind w:firstLine="709"/>
        <w:jc w:val="both"/>
        <w:rPr/>
      </w:pPr>
      <w:r>
        <w:rPr>
          <w:rFonts w:eastAsia="Times New Roman" w:cs="Times New Roman" w:ascii="Times New Roman" w:hAnsi="Times New Roman"/>
          <w:color w:val="000000"/>
          <w:sz w:val="28"/>
          <w:szCs w:val="28"/>
          <w:lang w:eastAsia="ru-RU"/>
        </w:rPr>
        <w:t>Наиболее распространенными нарушениями, выявляемыми в действиях организаторов торгов при их организации и проведении, являются следующие:</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не публикация Извещения о проведении конкурса на официальном сайте за тридцать дней до даты окончания приема заявок; нарушение сроков публикации Извещения, и как следствие, сокращение времени подачи заявок на участие в Конкурсе;</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указание в извещении о проведении аукциона и аукционной документации информации о рекламной конструкции, противоречащей Схеме размещения рекламных конструкций на территории муниципального образования (неверно указаны сведения о количестве сторон, размере информационного поля в отношении рекламной конструкции и др.);</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не указание в извещении о проведении аукциона и в аукционной документации сведений о том, что на местах для размещения рекламных конструкций, входящих в состав лотов по вышеуказанным аукционам, установлены рекламные конструкции иных хозяйствующих субъектов;</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необоснованное укрупнение лотов (объединение в один лот конструкции разных форматов, укрупнение лотов до значительного количества конструкций в одном лоте);</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включение в аукционную документацию положений, не предусмотренных  Положениями о порядке (правилах) проведения торгов на право заключения договора на установку и эксплуатацию рекламных конструкций на территориях муниципальных образований, утвержденных органами местного самоуправления на территории конкретного муниципального образования;</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необоснованный отказ в допуске к участию в открытом аукционе на право заключения договоров на установку и эксплуатацию рекламных конструкций на объектах муниципальной собственности на территории муниципального образования;</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установление необъективных критериев определения победителя конкурса на право заключения договора на установку и эксплуатацию рекламных конструкций, которые могут привести к необъективной оценке и сопоставлению таких заявок;</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установление в аукционной документации неправомерных требований о предоставлении в составе заявки информации об общей площади информационных полей РК, разрешения на установку которых выданы претенденту и его аффилированным лицам на территории муниципального образования;</w:t>
      </w:r>
    </w:p>
    <w:p>
      <w:pPr>
        <w:pStyle w:val="ListParagraph"/>
        <w:numPr>
          <w:ilvl w:val="0"/>
          <w:numId w:val="1"/>
        </w:numPr>
        <w:spacing w:lineRule="auto" w:line="240" w:before="0" w:after="0"/>
        <w:ind w:left="0" w:firstLine="709"/>
        <w:contextualSpacing/>
        <w:jc w:val="both"/>
        <w:rPr/>
      </w:pPr>
      <w:r>
        <w:rPr>
          <w:rFonts w:cs="Times New Roman" w:ascii="Times New Roman" w:hAnsi="Times New Roman"/>
          <w:sz w:val="28"/>
          <w:szCs w:val="28"/>
        </w:rPr>
        <w:t xml:space="preserve"> </w:t>
      </w:r>
      <w:r>
        <w:rPr>
          <w:rFonts w:cs="Times New Roman" w:ascii="Times New Roman" w:hAnsi="Times New Roman"/>
          <w:sz w:val="28"/>
          <w:szCs w:val="28"/>
        </w:rPr>
        <w:t>отсутствие в документации порядка оценки, и методики расчета баллов по критериям.</w:t>
      </w:r>
    </w:p>
    <w:p>
      <w:pPr>
        <w:pStyle w:val="Normal"/>
        <w:spacing w:lineRule="auto" w:line="240" w:before="0" w:after="0"/>
        <w:ind w:firstLine="709"/>
        <w:jc w:val="both"/>
        <w:rPr>
          <w:rFonts w:ascii="Times New Roman" w:hAnsi="Times New Roman"/>
        </w:rPr>
      </w:pPr>
      <w:r>
        <w:rPr>
          <w:rFonts w:eastAsia="Times New Roman" w:cs="Times New Roman" w:ascii="Times New Roman" w:hAnsi="Times New Roman"/>
          <w:b w:val="false"/>
          <w:bCs w:val="false"/>
          <w:color w:val="000000" w:themeColor="text1"/>
          <w:sz w:val="28"/>
          <w:szCs w:val="28"/>
          <w:lang w:eastAsia="ru-RU"/>
        </w:rPr>
        <w:t>В силу пункта 71 постановления Пленума Верховного Суда Российской Федерации от 17.11.2015 № 50 «О применении судами законодательства при рассмотрении некоторых вопросов, возникающих в ходе исполнительного производства» в качестве оснований для признания торгов недействительными могут быть, в частности, публикация информации о проведении публичных торгов в ненадлежащем периодическом издании (с учётом объема тиража, территории распространения, доступности издания); нарушение сроков публикации и полноты информации о времени, месте и форме публичных торгов, их предмете, о существующих обременениях продаваемого имущества и порядке проведения публичных торгов, в том числе об оформлении участия в них, определении лица, выигравшего публичные торги, а также сведений о начальной цене; необоснованное недопущение к участию в публичных торгах.</w:t>
      </w:r>
    </w:p>
    <w:p>
      <w:pPr>
        <w:pStyle w:val="Normal"/>
        <w:spacing w:lineRule="auto" w:line="240" w:before="0" w:after="0"/>
        <w:ind w:firstLine="709"/>
        <w:jc w:val="both"/>
        <w:rPr>
          <w:rFonts w:eastAsia="Times New Roman" w:cs="Times New Roman"/>
          <w:color w:val="000000" w:themeColor="text1"/>
          <w:sz w:val="28"/>
          <w:szCs w:val="28"/>
          <w:lang w:eastAsia="ru-RU"/>
        </w:rPr>
      </w:pPr>
      <w:r>
        <w:rPr>
          <w:rFonts w:eastAsia="Times New Roman" w:cs="Times New Roman"/>
          <w:color w:val="000000" w:themeColor="text1"/>
          <w:sz w:val="28"/>
          <w:szCs w:val="28"/>
          <w:lang w:eastAsia="ru-RU"/>
        </w:rPr>
      </w:r>
    </w:p>
    <w:p>
      <w:pPr>
        <w:pStyle w:val="Normal"/>
        <w:spacing w:lineRule="auto" w:line="240" w:before="0" w:after="0"/>
        <w:ind w:firstLine="708"/>
        <w:jc w:val="center"/>
        <w:rPr/>
      </w:pPr>
      <w:r>
        <w:rPr>
          <w:rFonts w:cs="Times New Roman" w:ascii="Times New Roman" w:hAnsi="Times New Roman"/>
          <w:b/>
          <w:sz w:val="28"/>
          <w:szCs w:val="28"/>
        </w:rPr>
        <w:t>Тема №5</w:t>
      </w:r>
    </w:p>
    <w:p>
      <w:pPr>
        <w:pStyle w:val="Normal"/>
        <w:spacing w:lineRule="auto" w:line="240" w:before="0" w:after="0"/>
        <w:ind w:firstLine="708"/>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rFonts w:ascii="Times New Roman" w:hAnsi="Times New Roman"/>
          <w:sz w:val="28"/>
          <w:szCs w:val="28"/>
        </w:rPr>
      </w:pPr>
      <w:r>
        <w:rPr>
          <w:rFonts w:ascii="Times New Roman" w:hAnsi="Times New Roman"/>
          <w:b/>
          <w:bCs/>
          <w:sz w:val="28"/>
          <w:szCs w:val="28"/>
        </w:rPr>
        <w:t xml:space="preserve">О подходах и проблемах при формировании рейтинга </w:t>
      </w:r>
    </w:p>
    <w:p>
      <w:pPr>
        <w:pStyle w:val="Normal"/>
        <w:spacing w:lineRule="auto" w:line="240" w:before="0" w:after="0"/>
        <w:jc w:val="center"/>
        <w:rPr>
          <w:rFonts w:ascii="Times New Roman" w:hAnsi="Times New Roman"/>
          <w:sz w:val="28"/>
          <w:szCs w:val="28"/>
        </w:rPr>
      </w:pPr>
      <w:bookmarkStart w:id="3" w:name="__DdeLink__9252_1507987400"/>
      <w:bookmarkEnd w:id="3"/>
      <w:r>
        <w:rPr>
          <w:rFonts w:ascii="Times New Roman" w:hAnsi="Times New Roman"/>
          <w:b/>
          <w:bCs/>
          <w:sz w:val="28"/>
          <w:szCs w:val="28"/>
        </w:rPr>
        <w:t>муниципальных образований</w:t>
      </w:r>
    </w:p>
    <w:p>
      <w:pPr>
        <w:pStyle w:val="Normal"/>
        <w:spacing w:lineRule="auto" w:line="240" w:before="0" w:after="0"/>
        <w:jc w:val="center"/>
        <w:rPr>
          <w:b/>
          <w:b/>
          <w:bCs/>
        </w:rPr>
      </w:pPr>
      <w:r>
        <w:rPr>
          <w:b/>
          <w:bCs/>
        </w:rPr>
      </w:r>
    </w:p>
    <w:p>
      <w:pPr>
        <w:pStyle w:val="Normal"/>
        <w:spacing w:lineRule="auto" w:line="240" w:before="0" w:after="0"/>
        <w:ind w:left="57" w:firstLine="709"/>
        <w:jc w:val="both"/>
        <w:rPr/>
      </w:pPr>
      <w:r>
        <w:rPr>
          <w:rFonts w:ascii="Times New Roman" w:hAnsi="Times New Roman"/>
          <w:sz w:val="28"/>
          <w:szCs w:val="28"/>
        </w:rPr>
        <w:t>Работа по формированию рейтинга муниципальных образований обозначена в Стандарте развития конкуренции и вот уже 3 год подряд Уполномоченный орган - Минэкономики Республики Мордовия занимается подведением итогов деятельности муниципальных образований по развитию конкуренции. По итогам Государственного совета  РФ (05.04.2018) система мотивации органов местного самоуправления (ОМСУ) обозначена в перечне поручений Президента РФ и по результатам деятельности готовится Доклад Президенту РФ.</w:t>
      </w:r>
    </w:p>
    <w:p>
      <w:pPr>
        <w:pStyle w:val="Normal"/>
        <w:spacing w:lineRule="auto" w:line="240" w:before="0" w:after="0"/>
        <w:ind w:firstLine="709"/>
        <w:jc w:val="both"/>
        <w:rPr/>
      </w:pPr>
      <w:r>
        <w:rPr>
          <w:rFonts w:ascii="Times New Roman" w:hAnsi="Times New Roman"/>
          <w:sz w:val="28"/>
          <w:szCs w:val="28"/>
        </w:rPr>
        <w:t xml:space="preserve">Уполномоченным органом — Минэкономики Республики Мордовия в качестве основного инструмента для его расчета, разработана </w:t>
      </w:r>
      <w:r>
        <w:rPr>
          <w:rFonts w:ascii="Times New Roman" w:hAnsi="Times New Roman"/>
          <w:b w:val="false"/>
          <w:bCs w:val="false"/>
          <w:sz w:val="28"/>
          <w:szCs w:val="28"/>
        </w:rPr>
        <w:t>«Методика формирования рейтинга муниципальных образований в Республике Мордовия по содействию развитию конкуренции и обеспечению условий для благоприятного инвестиционного климата».</w:t>
      </w:r>
    </w:p>
    <w:p>
      <w:pPr>
        <w:pStyle w:val="ListParagraph"/>
        <w:spacing w:lineRule="auto" w:line="240" w:before="0" w:after="0"/>
        <w:ind w:left="0" w:firstLine="795"/>
        <w:contextualSpacing/>
        <w:jc w:val="both"/>
        <w:rPr>
          <w:rFonts w:ascii="Times New Roman" w:hAnsi="Times New Roman"/>
          <w:sz w:val="28"/>
          <w:szCs w:val="28"/>
        </w:rPr>
      </w:pPr>
      <w:r>
        <w:rPr>
          <w:rFonts w:cs="Times New Roman" w:ascii="Times New Roman" w:hAnsi="Times New Roman"/>
          <w:sz w:val="28"/>
          <w:szCs w:val="28"/>
        </w:rPr>
        <w:t xml:space="preserve">Первый  </w:t>
      </w:r>
      <w:r>
        <w:rPr>
          <w:rFonts w:cs="Times New Roman" w:ascii="Times New Roman" w:hAnsi="Times New Roman"/>
          <w:b w:val="false"/>
          <w:bCs w:val="false"/>
          <w:sz w:val="28"/>
          <w:szCs w:val="28"/>
        </w:rPr>
        <w:t>рейтинг</w:t>
      </w:r>
      <w:r>
        <w:rPr>
          <w:rFonts w:cs="Times New Roman" w:ascii="Times New Roman" w:hAnsi="Times New Roman"/>
          <w:sz w:val="28"/>
          <w:szCs w:val="28"/>
        </w:rPr>
        <w:t xml:space="preserve"> муниципальных образований Республики Мордовия, в части их деятельности по содействию развитию конкуренции и по обеспечению условий для благоприятного инвестиционного климата, включая награждение первых трех муниципальных образований  почетными Дипломами первой, второй и третьей степени на основе Методики, был сформирован по итогам 2016 года. </w:t>
      </w:r>
    </w:p>
    <w:p>
      <w:pPr>
        <w:pStyle w:val="ListParagraph"/>
        <w:spacing w:lineRule="auto" w:line="240" w:before="0" w:after="0"/>
        <w:ind w:left="0" w:firstLine="795"/>
        <w:contextualSpacing/>
        <w:jc w:val="both"/>
        <w:rPr/>
      </w:pPr>
      <w:r>
        <w:rPr>
          <w:rFonts w:cs="Times New Roman" w:ascii="Times New Roman" w:hAnsi="Times New Roman"/>
          <w:sz w:val="28"/>
          <w:szCs w:val="28"/>
        </w:rPr>
        <w:t>Далее, при формировании финального рейтинга  по итогам работы  за 2017 год, применена усовершенствованная Методика, в которой предусматривается материальное поощрение победителей среди муниципальных образований,  а также премирование отличившихся сотрудников пяти муниципальных образований (согласно рейтинга муниципальных образований), на основании ходатайства Председателя Координационного совета по развитию конкуренции при Главе Республики Мордовия к главам администраций муниципальных образований.</w:t>
      </w:r>
    </w:p>
    <w:p>
      <w:pPr>
        <w:pStyle w:val="ListParagraph"/>
        <w:spacing w:lineRule="auto" w:line="240" w:before="0" w:after="0"/>
        <w:ind w:left="0" w:firstLine="795"/>
        <w:contextualSpacing/>
        <w:jc w:val="both"/>
        <w:rPr>
          <w:rFonts w:ascii="Times New Roman" w:hAnsi="Times New Roman"/>
          <w:sz w:val="28"/>
          <w:szCs w:val="28"/>
        </w:rPr>
      </w:pPr>
      <w:r>
        <w:rPr>
          <w:rFonts w:cs="Times New Roman" w:ascii="Times New Roman" w:hAnsi="Times New Roman"/>
          <w:bCs/>
          <w:sz w:val="28"/>
          <w:szCs w:val="28"/>
        </w:rPr>
        <w:t xml:space="preserve">По результатам состоявшегося 5 декабря 2018 г. заседания Межведомственной рабочей группы по вопросам реализации Стандарта развития конкуренции в субъектах Российской Федерации практика </w:t>
      </w:r>
      <w:r>
        <w:rPr>
          <w:rFonts w:cs="Times New Roman" w:ascii="Times New Roman" w:hAnsi="Times New Roman"/>
          <w:b w:val="false"/>
          <w:bCs w:val="false"/>
          <w:i w:val="false"/>
          <w:iCs w:val="false"/>
          <w:sz w:val="28"/>
          <w:szCs w:val="28"/>
        </w:rPr>
        <w:t>формирования рейтинга муниципальных образований по содействию развитию конкуренции в Республике Мордовия</w:t>
      </w:r>
      <w:r>
        <w:rPr>
          <w:rFonts w:cs="Times New Roman" w:ascii="Times New Roman" w:hAnsi="Times New Roman"/>
          <w:b/>
          <w:bCs/>
          <w:i/>
          <w:sz w:val="28"/>
          <w:szCs w:val="28"/>
        </w:rPr>
        <w:t xml:space="preserve"> </w:t>
      </w:r>
      <w:r>
        <w:rPr>
          <w:rFonts w:cs="Times New Roman" w:ascii="Times New Roman" w:hAnsi="Times New Roman"/>
          <w:bCs/>
          <w:sz w:val="28"/>
          <w:szCs w:val="28"/>
        </w:rPr>
        <w:t xml:space="preserve">отмечена в числе 10 лучших региональных практик на федеральном уровне. </w:t>
      </w:r>
    </w:p>
    <w:p>
      <w:pPr>
        <w:pStyle w:val="Normal"/>
        <w:spacing w:lineRule="auto" w:line="240" w:before="0" w:after="0"/>
        <w:ind w:firstLine="709"/>
        <w:jc w:val="both"/>
        <w:rPr>
          <w:rFonts w:ascii="Times New Roman" w:hAnsi="Times New Roman"/>
          <w:sz w:val="28"/>
          <w:szCs w:val="28"/>
        </w:rPr>
      </w:pPr>
      <w:r>
        <w:rPr>
          <w:rFonts w:ascii="Times New Roman" w:hAnsi="Times New Roman"/>
          <w:bCs/>
          <w:sz w:val="28"/>
          <w:szCs w:val="28"/>
        </w:rPr>
        <w:t xml:space="preserve">Финальный рейтинг состоит из следующих </w:t>
      </w:r>
      <w:r>
        <w:rPr>
          <w:rFonts w:cs="Times New Roman" w:ascii="Times New Roman" w:hAnsi="Times New Roman"/>
          <w:bCs/>
          <w:sz w:val="28"/>
          <w:szCs w:val="28"/>
        </w:rPr>
        <w:t>4 промежуточных рейтинга:</w:t>
      </w:r>
    </w:p>
    <w:p>
      <w:pPr>
        <w:pStyle w:val="Normal"/>
        <w:spacing w:lineRule="auto" w:line="240" w:before="0" w:after="0"/>
        <w:ind w:firstLine="709"/>
        <w:jc w:val="both"/>
        <w:rPr>
          <w:rFonts w:ascii="Times New Roman" w:hAnsi="Times New Roman"/>
          <w:sz w:val="28"/>
          <w:szCs w:val="28"/>
        </w:rPr>
      </w:pPr>
      <w:r>
        <w:rPr>
          <w:rFonts w:cs="Times New Roman" w:ascii="Times New Roman" w:hAnsi="Times New Roman"/>
          <w:b/>
          <w:sz w:val="28"/>
          <w:szCs w:val="28"/>
        </w:rPr>
        <w:t>организационный</w:t>
      </w:r>
      <w:r>
        <w:rPr>
          <w:rFonts w:cs="Times New Roman" w:ascii="Times New Roman" w:hAnsi="Times New Roman"/>
          <w:sz w:val="28"/>
          <w:szCs w:val="28"/>
        </w:rPr>
        <w:t xml:space="preserve"> – построен на показателях, характеризующих выполнение  организационно-методических мероприятий по внедрению и реализации положений Стандарта развития конкуренции  муниципальными образованиями;</w:t>
      </w:r>
    </w:p>
    <w:p>
      <w:pPr>
        <w:pStyle w:val="Normal"/>
        <w:keepNext w:val="true"/>
        <w:keepLines/>
        <w:numPr>
          <w:ilvl w:val="0"/>
          <w:numId w:val="0"/>
        </w:numPr>
        <w:spacing w:lineRule="auto" w:line="240" w:before="0" w:after="0"/>
        <w:ind w:firstLine="709"/>
        <w:jc w:val="both"/>
        <w:outlineLvl w:val="0"/>
        <w:rPr>
          <w:rFonts w:ascii="Times New Roman" w:hAnsi="Times New Roman"/>
          <w:sz w:val="28"/>
          <w:szCs w:val="28"/>
        </w:rPr>
      </w:pPr>
      <w:r>
        <w:rPr>
          <w:rFonts w:cs="Times New Roman" w:ascii="Times New Roman" w:hAnsi="Times New Roman"/>
          <w:b/>
          <w:bCs/>
          <w:sz w:val="28"/>
          <w:szCs w:val="28"/>
        </w:rPr>
        <w:t>инвестиционный</w:t>
      </w:r>
      <w:r>
        <w:rPr>
          <w:rFonts w:cs="Times New Roman" w:ascii="Times New Roman" w:hAnsi="Times New Roman"/>
          <w:bCs/>
          <w:sz w:val="28"/>
          <w:szCs w:val="28"/>
        </w:rPr>
        <w:t xml:space="preserve"> </w:t>
      </w:r>
      <w:r>
        <w:rPr>
          <w:rFonts w:cs="Times New Roman" w:ascii="Times New Roman" w:hAnsi="Times New Roman"/>
          <w:sz w:val="28"/>
          <w:szCs w:val="28"/>
        </w:rPr>
        <w:t>–</w:t>
      </w:r>
      <w:r>
        <w:rPr>
          <w:rFonts w:cs="Times New Roman" w:ascii="Times New Roman" w:hAnsi="Times New Roman"/>
          <w:bCs/>
          <w:sz w:val="28"/>
          <w:szCs w:val="28"/>
        </w:rPr>
        <w:t xml:space="preserve"> базируется на  анализе показателей развития инвестиционной деятельности и социально-экономического развития муниципальных образований;</w:t>
      </w:r>
    </w:p>
    <w:p>
      <w:pPr>
        <w:pStyle w:val="Normal"/>
        <w:spacing w:lineRule="auto" w:line="240" w:before="0" w:after="0"/>
        <w:ind w:firstLine="709"/>
        <w:jc w:val="both"/>
        <w:rPr>
          <w:rFonts w:ascii="Times New Roman" w:hAnsi="Times New Roman"/>
          <w:sz w:val="28"/>
          <w:szCs w:val="28"/>
        </w:rPr>
      </w:pPr>
      <w:r>
        <w:rPr>
          <w:rFonts w:cs="Times New Roman" w:ascii="Times New Roman" w:hAnsi="Times New Roman"/>
          <w:b/>
          <w:sz w:val="28"/>
          <w:szCs w:val="28"/>
        </w:rPr>
        <w:t>социологический</w:t>
      </w:r>
      <w:r>
        <w:rPr>
          <w:rFonts w:cs="Times New Roman" w:ascii="Times New Roman" w:hAnsi="Times New Roman"/>
          <w:sz w:val="28"/>
          <w:szCs w:val="28"/>
        </w:rPr>
        <w:t xml:space="preserve"> – включает оценки конкурентной среды муниципальных образований на основе социологических исследований (оценка предпринимательским сообществом и потребителями степени развития конкуренции на рынках товаров и услуг); </w:t>
      </w:r>
    </w:p>
    <w:p>
      <w:pPr>
        <w:pStyle w:val="Normal"/>
        <w:spacing w:lineRule="auto" w:line="240" w:before="0" w:after="0"/>
        <w:ind w:firstLine="709"/>
        <w:jc w:val="both"/>
        <w:rPr>
          <w:rFonts w:ascii="Times New Roman" w:hAnsi="Times New Roman"/>
          <w:sz w:val="28"/>
          <w:szCs w:val="28"/>
        </w:rPr>
      </w:pPr>
      <w:r>
        <w:rPr>
          <w:rFonts w:cs="Times New Roman" w:ascii="Times New Roman" w:hAnsi="Times New Roman"/>
          <w:b/>
          <w:bCs/>
          <w:sz w:val="28"/>
          <w:szCs w:val="28"/>
        </w:rPr>
        <w:t>рейтинг достигнутых результатов</w:t>
      </w:r>
      <w:r>
        <w:rPr>
          <w:rFonts w:cs="Times New Roman" w:ascii="Times New Roman" w:hAnsi="Times New Roman"/>
          <w:bCs/>
          <w:sz w:val="28"/>
          <w:szCs w:val="28"/>
        </w:rPr>
        <w:t xml:space="preserve"> – характеризует достижение установленных целевых показателей Планов мероприятий («дорожных карт») муниципальных образований. </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Целью рейтинга является оценка возможностей муниципальных образований по содействию развитию конкуренции и развитию инвестиционной деятельности по установленным  критериям.</w:t>
      </w:r>
    </w:p>
    <w:p>
      <w:pPr>
        <w:pStyle w:val="Normal"/>
        <w:spacing w:lineRule="auto" w:line="240" w:before="0" w:after="0"/>
        <w:ind w:left="57" w:firstLine="709"/>
        <w:jc w:val="both"/>
        <w:rPr>
          <w:rFonts w:ascii="Times New Roman" w:hAnsi="Times New Roman"/>
          <w:sz w:val="28"/>
          <w:szCs w:val="28"/>
        </w:rPr>
      </w:pPr>
      <w:r>
        <w:rPr>
          <w:rFonts w:ascii="Times New Roman" w:hAnsi="Times New Roman"/>
          <w:sz w:val="28"/>
          <w:szCs w:val="28"/>
        </w:rPr>
        <w:t>Разработанная Методика формирования рейтинга муниципальных образований ежегодно актуализируется с учетом изменений нормативно-правовой и методической базы.</w:t>
      </w:r>
    </w:p>
    <w:p>
      <w:pPr>
        <w:pStyle w:val="Normal"/>
        <w:spacing w:lineRule="auto" w:line="240" w:before="0" w:after="0"/>
        <w:ind w:firstLine="708"/>
        <w:jc w:val="both"/>
        <w:rPr>
          <w:rFonts w:ascii="Times New Roman" w:hAnsi="Times New Roman"/>
          <w:sz w:val="28"/>
          <w:szCs w:val="28"/>
        </w:rPr>
      </w:pPr>
      <w:r>
        <w:rPr>
          <w:rFonts w:cs="Times New Roman" w:ascii="Times New Roman" w:hAnsi="Times New Roman"/>
          <w:sz w:val="28"/>
          <w:szCs w:val="28"/>
        </w:rPr>
        <w:t xml:space="preserve">Рейтинговая оценка деятельности муниципальных образований  проводится на основании результатов заполнения электронной формы. </w:t>
      </w:r>
      <w:r>
        <w:rPr>
          <w:rFonts w:eastAsia="Times New Roman" w:cs="Times New Roman" w:ascii="Times New Roman" w:hAnsi="Times New Roman"/>
          <w:sz w:val="28"/>
          <w:szCs w:val="28"/>
          <w:lang w:eastAsia="ru-RU"/>
        </w:rPr>
        <w:t xml:space="preserve">Кроме заполненной электронной формы администрациями муниципальных образований должен быть направлен полный отчет </w:t>
      </w:r>
      <w:r>
        <w:rPr>
          <w:rFonts w:eastAsia="Times New Roman" w:cs="Times New Roman" w:ascii="Times New Roman" w:hAnsi="Times New Roman"/>
          <w:b w:val="false"/>
          <w:bCs w:val="false"/>
          <w:sz w:val="28"/>
          <w:szCs w:val="28"/>
          <w:lang w:eastAsia="ru-RU"/>
        </w:rPr>
        <w:t>(справка об итогах),</w:t>
      </w:r>
      <w:r>
        <w:rPr>
          <w:rFonts w:eastAsia="Times New Roman" w:cs="Times New Roman" w:ascii="Times New Roman" w:hAnsi="Times New Roman"/>
          <w:sz w:val="28"/>
          <w:szCs w:val="28"/>
          <w:lang w:eastAsia="ru-RU"/>
        </w:rPr>
        <w:t xml:space="preserve"> содержащий анализ состояния конкурентной среды в муниципальном образовании как на основе статистических и ведомственных данных, так и по результатам проводимого мониторинга (опросов, анкетирования).</w:t>
      </w:r>
    </w:p>
    <w:p>
      <w:pPr>
        <w:pStyle w:val="Normal"/>
        <w:spacing w:lineRule="auto" w:line="240" w:before="0" w:after="0"/>
        <w:ind w:firstLine="708"/>
        <w:jc w:val="both"/>
        <w:rPr>
          <w:rFonts w:ascii="Times New Roman" w:hAnsi="Times New Roman"/>
          <w:sz w:val="28"/>
          <w:szCs w:val="28"/>
        </w:rPr>
      </w:pPr>
      <w:r>
        <w:rPr>
          <w:rFonts w:eastAsia="Times New Roman" w:cs="Times New Roman" w:ascii="Times New Roman" w:hAnsi="Times New Roman"/>
          <w:sz w:val="28"/>
          <w:szCs w:val="28"/>
          <w:lang w:eastAsia="ru-RU"/>
        </w:rPr>
        <w:t>Когда мы только начали заниматься формированием рейтинга, то столкнулись с такой проблемой, как формальный подход со стороны муниципальных образований. Но, сейчас можно сказать, что произошли определенные сдвиги, районы - аутсайдеры  подтянулись и стали занимать неплохие позиции.</w:t>
      </w:r>
    </w:p>
    <w:p>
      <w:pPr>
        <w:pStyle w:val="Normal"/>
        <w:spacing w:lineRule="auto" w:line="240" w:before="0" w:after="0"/>
        <w:ind w:firstLine="708"/>
        <w:jc w:val="both"/>
        <w:rPr>
          <w:rFonts w:ascii="Times New Roman" w:hAnsi="Times New Roman"/>
          <w:sz w:val="28"/>
          <w:szCs w:val="28"/>
        </w:rPr>
      </w:pPr>
      <w:r>
        <w:rPr>
          <w:rFonts w:eastAsia="Times New Roman" w:cs="Times New Roman" w:ascii="Times New Roman" w:hAnsi="Times New Roman"/>
          <w:sz w:val="28"/>
          <w:szCs w:val="28"/>
          <w:lang w:eastAsia="ru-RU"/>
        </w:rPr>
        <w:t>По прежнему отсутствуют данные об обращениях и жалобах, которые поступают в администрацию районов и их соответствующий анализ;</w:t>
      </w:r>
    </w:p>
    <w:p>
      <w:pPr>
        <w:pStyle w:val="Normal"/>
        <w:spacing w:lineRule="auto" w:line="240" w:before="0" w:after="0"/>
        <w:ind w:firstLine="708"/>
        <w:jc w:val="both"/>
        <w:rPr>
          <w:rFonts w:ascii="Times New Roman" w:hAnsi="Times New Roman"/>
          <w:sz w:val="28"/>
          <w:szCs w:val="28"/>
        </w:rPr>
      </w:pPr>
      <w:r>
        <w:rPr>
          <w:rFonts w:eastAsia="Times New Roman" w:cs="Times New Roman" w:ascii="Times New Roman" w:hAnsi="Times New Roman"/>
          <w:sz w:val="28"/>
          <w:szCs w:val="28"/>
          <w:lang w:eastAsia="ru-RU"/>
        </w:rPr>
        <w:t>недостаточное внимание уделено проведению мониторингов  их результатам;</w:t>
      </w:r>
    </w:p>
    <w:p>
      <w:pPr>
        <w:pStyle w:val="Normal"/>
        <w:spacing w:lineRule="auto" w:line="240" w:before="0" w:after="0"/>
        <w:ind w:firstLine="708"/>
        <w:jc w:val="both"/>
        <w:rPr>
          <w:rFonts w:ascii="Times New Roman" w:hAnsi="Times New Roman"/>
          <w:sz w:val="28"/>
          <w:szCs w:val="28"/>
        </w:rPr>
      </w:pPr>
      <w:r>
        <w:rPr>
          <w:rFonts w:eastAsia="Times New Roman" w:cs="Times New Roman" w:ascii="Times New Roman" w:hAnsi="Times New Roman"/>
          <w:sz w:val="28"/>
          <w:szCs w:val="28"/>
          <w:lang w:eastAsia="ru-RU"/>
        </w:rPr>
        <w:t>отсутствует анализ документов стратегического планирования при аргументированном обосновании рынков;</w:t>
      </w:r>
    </w:p>
    <w:p>
      <w:pPr>
        <w:pStyle w:val="Normal"/>
        <w:spacing w:lineRule="auto" w:line="240" w:before="0" w:after="0"/>
        <w:ind w:firstLine="708"/>
        <w:jc w:val="both"/>
        <w:rPr>
          <w:rFonts w:ascii="Times New Roman" w:hAnsi="Times New Roman"/>
          <w:sz w:val="28"/>
          <w:szCs w:val="28"/>
        </w:rPr>
      </w:pPr>
      <w:r>
        <w:rPr>
          <w:rFonts w:eastAsia="Times New Roman" w:cs="Times New Roman" w:ascii="Times New Roman" w:hAnsi="Times New Roman"/>
          <w:sz w:val="28"/>
          <w:szCs w:val="28"/>
          <w:lang w:eastAsia="ru-RU"/>
        </w:rPr>
        <w:t>практически не ведется работа по выявлению лучших практик по развитию конкуренции на рынках товаров, работ и услуг.</w:t>
      </w:r>
    </w:p>
    <w:p>
      <w:pPr>
        <w:pStyle w:val="Normal"/>
        <w:spacing w:lineRule="auto" w:line="240" w:before="0" w:after="0"/>
        <w:ind w:firstLine="708"/>
        <w:jc w:val="both"/>
        <w:rPr/>
      </w:pPr>
      <w:r>
        <w:rPr>
          <w:rFonts w:eastAsia="Times New Roman" w:cs="Times New Roman" w:ascii="Times New Roman" w:hAnsi="Times New Roman"/>
          <w:sz w:val="28"/>
          <w:szCs w:val="28"/>
          <w:lang w:eastAsia="ru-RU"/>
        </w:rPr>
        <w:t xml:space="preserve">Хотим отметить, что Методика в этом году будет актуализирована и применены новые подходы. Будет увеличена значимость </w:t>
      </w:r>
      <w:r>
        <w:rPr>
          <w:rFonts w:eastAsia="Times New Roman" w:cs="Times New Roman" w:ascii="Times New Roman" w:hAnsi="Times New Roman"/>
          <w:b w:val="false"/>
          <w:bCs w:val="false"/>
          <w:sz w:val="28"/>
          <w:szCs w:val="28"/>
          <w:lang w:eastAsia="ru-RU"/>
        </w:rPr>
        <w:t>рейтингу достигнутых результатов - достижению установленных целевых показателей Планов мероприятий («дорожных карт») муниципальных образований. Дополнительные баллы будут начислены за лучшие муниципальные практики и менее значимой окажется социологическая оценка конкурентной среды.</w:t>
      </w:r>
    </w:p>
    <w:sectPr>
      <w:headerReference w:type="default" r:id="rId11"/>
      <w:footerReference w:type="default" r:id="rId12"/>
      <w:type w:val="nextPage"/>
      <w:pgSz w:w="11906" w:h="16838"/>
      <w:pgMar w:left="1008" w:right="816" w:header="708" w:top="851" w:footer="0" w:bottom="85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right"/>
      <w:rPr/>
    </w:pPr>
    <w:r>
      <w:rPr/>
    </w:r>
  </w:p>
  <w:p>
    <w:pPr>
      <w:pStyle w:val="Style26"/>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139790866"/>
    </w:sdtPr>
    <w:sdtContent>
      <w:p>
        <w:pPr>
          <w:pStyle w:val="Style26"/>
          <w:jc w:val="right"/>
          <w:rPr/>
        </w:pPr>
        <w:r>
          <w:rPr/>
          <w:fldChar w:fldCharType="begin"/>
        </w:r>
        <w:r>
          <w:instrText> PAGE </w:instrText>
        </w:r>
        <w:r>
          <w:fldChar w:fldCharType="separate"/>
        </w:r>
        <w:r>
          <w:t>2</w:t>
        </w:r>
        <w:r>
          <w:fldChar w:fldCharType="end"/>
        </w:r>
      </w:p>
      <w:p>
        <w:pPr>
          <w:pStyle w:val="Style26"/>
          <w:rPr/>
        </w:pPr>
        <w:r>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839090709"/>
    </w:sdtPr>
    <w:sdtContent>
      <w:p>
        <w:pPr>
          <w:pStyle w:val="Style26"/>
          <w:jc w:val="right"/>
          <w:rPr/>
        </w:pPr>
        <w:r>
          <w:rPr/>
          <w:fldChar w:fldCharType="begin"/>
        </w:r>
        <w:r>
          <w:instrText> PAGE </w:instrText>
        </w:r>
        <w:r>
          <w:fldChar w:fldCharType="separate"/>
        </w:r>
        <w:r>
          <w:t>3</w:t>
        </w:r>
        <w:r>
          <w:fldChar w:fldCharType="end"/>
        </w:r>
      </w:p>
      <w:p>
        <w:pPr>
          <w:pStyle w:val="Style26"/>
          <w:rPr/>
        </w:pPr>
        <w:r>
          <w:rPr/>
        </w:r>
      </w:p>
    </w:sdtContent>
  </w:sdt>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161151942"/>
    </w:sdtPr>
    <w:sdtContent>
      <w:p>
        <w:pPr>
          <w:pStyle w:val="Style26"/>
          <w:jc w:val="right"/>
          <w:rPr/>
        </w:pPr>
        <w:r>
          <w:rPr/>
          <w:fldChar w:fldCharType="begin"/>
        </w:r>
        <w:r>
          <w:instrText> PAGE </w:instrText>
        </w:r>
        <w:r>
          <w:fldChar w:fldCharType="separate"/>
        </w:r>
        <w:r>
          <w:t>33</w:t>
        </w:r>
        <w:r>
          <w:fldChar w:fldCharType="end"/>
        </w:r>
      </w:p>
      <w:p>
        <w:pPr>
          <w:pStyle w:val="Style26"/>
          <w:rPr/>
        </w:pPr>
        <w:r>
          <w:rPr/>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8"/>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1abd"/>
    <w:pPr>
      <w:widowControl/>
      <w:bidi w:val="0"/>
      <w:spacing w:lineRule="auto" w:line="276" w:before="0" w:after="200"/>
      <w:jc w:val="left"/>
    </w:pPr>
    <w:rPr>
      <w:rFonts w:ascii="Calibri" w:hAnsi="Calibri" w:eastAsia="Calibri" w:cs=""/>
      <w:color w:val="00000A"/>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Основной текст Знак"/>
    <w:basedOn w:val="DefaultParagraphFont"/>
    <w:qFormat/>
    <w:rsid w:val="000b1abd"/>
    <w:rPr>
      <w:rFonts w:ascii="Times New Roman" w:hAnsi="Times New Roman" w:eastAsia="Calibri" w:cs="Times New Roman"/>
      <w:sz w:val="24"/>
      <w:szCs w:val="20"/>
      <w:lang w:val="en-US" w:eastAsia="ru-RU"/>
    </w:rPr>
  </w:style>
  <w:style w:type="character" w:styleId="Style15" w:customStyle="1">
    <w:name w:val="Верхний колонтитул Знак"/>
    <w:basedOn w:val="DefaultParagraphFont"/>
    <w:uiPriority w:val="99"/>
    <w:qFormat/>
    <w:rsid w:val="000b1abd"/>
    <w:rPr/>
  </w:style>
  <w:style w:type="character" w:styleId="Style16" w:customStyle="1">
    <w:name w:val="Текст выноски Знак"/>
    <w:basedOn w:val="DefaultParagraphFont"/>
    <w:uiPriority w:val="99"/>
    <w:semiHidden/>
    <w:qFormat/>
    <w:rsid w:val="000b1abd"/>
    <w:rPr>
      <w:rFonts w:ascii="Tahoma" w:hAnsi="Tahoma" w:cs="Tahoma"/>
      <w:sz w:val="16"/>
      <w:szCs w:val="16"/>
    </w:rPr>
  </w:style>
  <w:style w:type="character" w:styleId="Style17" w:customStyle="1">
    <w:name w:val="Нижний колонтитул Знак"/>
    <w:basedOn w:val="DefaultParagraphFont"/>
    <w:uiPriority w:val="99"/>
    <w:qFormat/>
    <w:rsid w:val="000b1abd"/>
    <w:rPr/>
  </w:style>
  <w:style w:type="character" w:styleId="Strong">
    <w:name w:val="Strong"/>
    <w:basedOn w:val="DefaultParagraphFont"/>
    <w:uiPriority w:val="22"/>
    <w:qFormat/>
    <w:rsid w:val="006f2109"/>
    <w:rPr>
      <w:b/>
      <w:bCs/>
    </w:rPr>
  </w:style>
  <w:style w:type="character" w:styleId="1" w:customStyle="1">
    <w:name w:val="Основной шрифт абзаца1"/>
    <w:qFormat/>
    <w:rsid w:val="000b52bd"/>
    <w:rPr/>
  </w:style>
  <w:style w:type="character" w:styleId="Style18" w:customStyle="1">
    <w:name w:val="Основной текст_"/>
    <w:basedOn w:val="DefaultParagraphFont"/>
    <w:qFormat/>
    <w:rsid w:val="00a4225f"/>
    <w:rPr>
      <w:rFonts w:ascii="Times New Roman" w:hAnsi="Times New Roman" w:eastAsia="Times New Roman" w:cs="Times New Roman"/>
      <w:sz w:val="26"/>
      <w:szCs w:val="26"/>
      <w:shd w:fill="FFFFFF" w:val="clear"/>
    </w:rPr>
  </w:style>
  <w:style w:type="character" w:styleId="4" w:customStyle="1">
    <w:name w:val="Основной текст (4)_"/>
    <w:basedOn w:val="DefaultParagraphFont"/>
    <w:link w:val="40"/>
    <w:qFormat/>
    <w:rsid w:val="00a4225f"/>
    <w:rPr>
      <w:rFonts w:ascii="Times New Roman" w:hAnsi="Times New Roman" w:eastAsia="Times New Roman" w:cs="Times New Roman"/>
      <w:sz w:val="26"/>
      <w:szCs w:val="26"/>
      <w:shd w:fill="FFFFFF" w:val="clear"/>
    </w:rPr>
  </w:style>
  <w:style w:type="character" w:styleId="9" w:customStyle="1">
    <w:name w:val="Основной текст (9)_"/>
    <w:basedOn w:val="DefaultParagraphFont"/>
    <w:link w:val="90"/>
    <w:qFormat/>
    <w:rsid w:val="00a4225f"/>
    <w:rPr>
      <w:rFonts w:ascii="Times New Roman" w:hAnsi="Times New Roman" w:eastAsia="Times New Roman" w:cs="Times New Roman"/>
      <w:sz w:val="25"/>
      <w:szCs w:val="25"/>
      <w:shd w:fill="FFFFFF" w:val="clear"/>
    </w:rPr>
  </w:style>
  <w:style w:type="character" w:styleId="Style19" w:customStyle="1">
    <w:name w:val="Основной текст + Курсив"/>
    <w:basedOn w:val="Style18"/>
    <w:qFormat/>
    <w:rsid w:val="00a4225f"/>
    <w:rPr>
      <w:rFonts w:ascii="Times New Roman" w:hAnsi="Times New Roman" w:eastAsia="Times New Roman" w:cs="Times New Roman"/>
      <w:i/>
      <w:iCs/>
      <w:color w:val="000000"/>
      <w:spacing w:val="0"/>
      <w:w w:val="100"/>
      <w:sz w:val="26"/>
      <w:szCs w:val="26"/>
      <w:shd w:fill="FFFFFF" w:val="clear"/>
      <w:lang w:val="ru-RU"/>
    </w:rPr>
  </w:style>
  <w:style w:type="character" w:styleId="10" w:customStyle="1">
    <w:name w:val="Основной текст (10)_"/>
    <w:basedOn w:val="DefaultParagraphFont"/>
    <w:link w:val="100"/>
    <w:qFormat/>
    <w:rsid w:val="00a4225f"/>
    <w:rPr>
      <w:rFonts w:ascii="Times New Roman" w:hAnsi="Times New Roman" w:eastAsia="Times New Roman" w:cs="Times New Roman"/>
      <w:i/>
      <w:iCs/>
      <w:sz w:val="26"/>
      <w:szCs w:val="26"/>
      <w:shd w:fill="FFFFFF" w:val="clear"/>
    </w:rPr>
  </w:style>
  <w:style w:type="character" w:styleId="101" w:customStyle="1">
    <w:name w:val="Основной текст (10) + Не полужирный;Не курсив"/>
    <w:basedOn w:val="10"/>
    <w:link w:val="10"/>
    <w:qFormat/>
    <w:rsid w:val="00a4225f"/>
    <w:rPr>
      <w:rFonts w:ascii="Times New Roman" w:hAnsi="Times New Roman" w:eastAsia="Times New Roman" w:cs="Times New Roman"/>
      <w:i/>
      <w:iCs/>
      <w:color w:val="000000"/>
      <w:spacing w:val="0"/>
      <w:w w:val="100"/>
      <w:sz w:val="26"/>
      <w:szCs w:val="26"/>
      <w:shd w:fill="FFFFFF" w:val="clear"/>
      <w:lang w:val="ru-RU"/>
    </w:rPr>
  </w:style>
  <w:style w:type="character" w:styleId="10Tahoma75pt" w:customStyle="1">
    <w:name w:val="Основной текст (10) + Tahoma;7.5 pt;Не курсив"/>
    <w:basedOn w:val="10"/>
    <w:qFormat/>
    <w:rsid w:val="00a4225f"/>
    <w:rPr>
      <w:rFonts w:ascii="Tahoma" w:hAnsi="Tahoma" w:eastAsia="Tahoma" w:cs="Tahoma"/>
      <w:i/>
      <w:iCs/>
      <w:color w:val="000000"/>
      <w:spacing w:val="0"/>
      <w:w w:val="100"/>
      <w:sz w:val="15"/>
      <w:szCs w:val="15"/>
      <w:shd w:fill="FFFFFF" w:val="clear"/>
    </w:rPr>
  </w:style>
  <w:style w:type="character" w:styleId="2" w:customStyle="1">
    <w:name w:val="Заголовок №2_"/>
    <w:basedOn w:val="DefaultParagraphFont"/>
    <w:link w:val="20"/>
    <w:qFormat/>
    <w:rsid w:val="00a4225f"/>
    <w:rPr>
      <w:rFonts w:ascii="Times New Roman" w:hAnsi="Times New Roman" w:eastAsia="Times New Roman" w:cs="Times New Roman"/>
      <w:sz w:val="25"/>
      <w:szCs w:val="25"/>
      <w:shd w:fill="FFFFFF" w:val="clear"/>
    </w:rPr>
  </w:style>
  <w:style w:type="character" w:styleId="ListLabel1" w:customStyle="1">
    <w:name w:val="ListLabel 1"/>
    <w:qFormat/>
    <w:rPr>
      <w:rFonts w:eastAsia="Times New Roman" w:cs="Times New Roman"/>
      <w:b/>
      <w:bCs/>
      <w:i w:val="false"/>
      <w:iCs w:val="false"/>
      <w:caps w:val="false"/>
      <w:smallCaps w:val="false"/>
      <w:strike w:val="false"/>
      <w:dstrike w:val="false"/>
      <w:color w:val="000000"/>
      <w:spacing w:val="0"/>
      <w:w w:val="100"/>
      <w:sz w:val="25"/>
      <w:szCs w:val="25"/>
      <w:u w:val="none"/>
      <w:lang w:val="ru-RU"/>
    </w:rPr>
  </w:style>
  <w:style w:type="character" w:styleId="Style20" w:customStyle="1">
    <w:name w:val="Интернет-ссылка"/>
    <w:basedOn w:val="DefaultParagraphFont"/>
    <w:rPr>
      <w:color w:val="000080"/>
      <w:u w:val="single"/>
    </w:rPr>
  </w:style>
  <w:style w:type="character" w:styleId="ListLabel15" w:customStyle="1">
    <w:name w:val="ListLabel 15"/>
    <w:qFormat/>
    <w:rPr>
      <w:rFonts w:ascii="Times New Roman" w:hAnsi="Times New Roman" w:cs="Symbol"/>
      <w:sz w:val="28"/>
    </w:rPr>
  </w:style>
  <w:style w:type="character" w:styleId="ListLabel16" w:customStyle="1">
    <w:name w:val="ListLabel 16"/>
    <w:qFormat/>
    <w:rPr>
      <w:rFonts w:cs="Courier New"/>
    </w:rPr>
  </w:style>
  <w:style w:type="character" w:styleId="ListLabel17" w:customStyle="1">
    <w:name w:val="ListLabel 17"/>
    <w:qFormat/>
    <w:rPr>
      <w:rFonts w:cs="Wingdings"/>
    </w:rPr>
  </w:style>
  <w:style w:type="character" w:styleId="ListLabel18" w:customStyle="1">
    <w:name w:val="ListLabel 18"/>
    <w:qFormat/>
    <w:rPr>
      <w:rFonts w:cs="Symbol"/>
    </w:rPr>
  </w:style>
  <w:style w:type="character" w:styleId="ListLabel19" w:customStyle="1">
    <w:name w:val="ListLabel 19"/>
    <w:qFormat/>
    <w:rPr>
      <w:rFonts w:cs="Courier New"/>
    </w:rPr>
  </w:style>
  <w:style w:type="character" w:styleId="ListLabel20" w:customStyle="1">
    <w:name w:val="ListLabel 20"/>
    <w:qFormat/>
    <w:rPr>
      <w:rFonts w:cs="Wingdings"/>
    </w:rPr>
  </w:style>
  <w:style w:type="character" w:styleId="ListLabel21" w:customStyle="1">
    <w:name w:val="ListLabel 21"/>
    <w:qFormat/>
    <w:rPr>
      <w:rFonts w:cs="Symbol"/>
    </w:rPr>
  </w:style>
  <w:style w:type="character" w:styleId="ListLabel22" w:customStyle="1">
    <w:name w:val="ListLabel 22"/>
    <w:qFormat/>
    <w:rPr>
      <w:rFonts w:cs="Courier New"/>
    </w:rPr>
  </w:style>
  <w:style w:type="character" w:styleId="ListLabel23" w:customStyle="1">
    <w:name w:val="ListLabel 23"/>
    <w:qFormat/>
    <w:rPr>
      <w:rFonts w:cs="Wingdings"/>
    </w:rPr>
  </w:style>
  <w:style w:type="character" w:styleId="ListLabel2" w:customStyle="1">
    <w:name w:val="ListLabel 2"/>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rPr>
  </w:style>
  <w:style w:type="character" w:styleId="ListLabel24" w:customStyle="1">
    <w:name w:val="ListLabel 24"/>
    <w:qFormat/>
    <w:rPr>
      <w:rFonts w:cs="Symbol"/>
      <w:sz w:val="28"/>
    </w:rPr>
  </w:style>
  <w:style w:type="character" w:styleId="ListLabel25" w:customStyle="1">
    <w:name w:val="ListLabel 25"/>
    <w:qFormat/>
    <w:rPr>
      <w:rFonts w:cs="Courier New"/>
    </w:rPr>
  </w:style>
  <w:style w:type="character" w:styleId="ListLabel26" w:customStyle="1">
    <w:name w:val="ListLabel 26"/>
    <w:qFormat/>
    <w:rPr>
      <w:rFonts w:cs="Wingdings"/>
    </w:rPr>
  </w:style>
  <w:style w:type="character" w:styleId="ListLabel27" w:customStyle="1">
    <w:name w:val="ListLabel 27"/>
    <w:qFormat/>
    <w:rPr>
      <w:rFonts w:cs="Symbol"/>
    </w:rPr>
  </w:style>
  <w:style w:type="character" w:styleId="ListLabel28" w:customStyle="1">
    <w:name w:val="ListLabel 28"/>
    <w:qFormat/>
    <w:rPr>
      <w:rFonts w:cs="Courier New"/>
    </w:rPr>
  </w:style>
  <w:style w:type="character" w:styleId="ListLabel29" w:customStyle="1">
    <w:name w:val="ListLabel 29"/>
    <w:qFormat/>
    <w:rPr>
      <w:rFonts w:cs="Wingdings"/>
    </w:rPr>
  </w:style>
  <w:style w:type="character" w:styleId="ListLabel30" w:customStyle="1">
    <w:name w:val="ListLabel 30"/>
    <w:qFormat/>
    <w:rPr>
      <w:rFonts w:cs="Symbol"/>
    </w:rPr>
  </w:style>
  <w:style w:type="character" w:styleId="ListLabel31" w:customStyle="1">
    <w:name w:val="ListLabel 31"/>
    <w:qFormat/>
    <w:rPr>
      <w:rFonts w:cs="Courier New"/>
    </w:rPr>
  </w:style>
  <w:style w:type="character" w:styleId="ListLabel32" w:customStyle="1">
    <w:name w:val="ListLabel 32"/>
    <w:qFormat/>
    <w:rPr>
      <w:rFonts w:cs="Wingdings"/>
    </w:rPr>
  </w:style>
  <w:style w:type="character" w:styleId="ListLabel33">
    <w:name w:val="ListLabel 33"/>
    <w:qFormat/>
    <w:rPr>
      <w:rFonts w:cs="Symbol"/>
      <w:sz w:val="28"/>
    </w:rPr>
  </w:style>
  <w:style w:type="character" w:styleId="ListLabel34">
    <w:name w:val="ListLabel 34"/>
    <w:qFormat/>
    <w:rPr>
      <w:rFonts w:cs="Courier New"/>
    </w:rPr>
  </w:style>
  <w:style w:type="character" w:styleId="ListLabel35">
    <w:name w:val="ListLabel 35"/>
    <w:qFormat/>
    <w:rPr>
      <w:rFonts w:cs="Wingdings"/>
    </w:rPr>
  </w:style>
  <w:style w:type="character" w:styleId="ListLabel36">
    <w:name w:val="ListLabel 36"/>
    <w:qFormat/>
    <w:rPr>
      <w:rFonts w:cs="Symbol"/>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sz w:val="28"/>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sz w:val="28"/>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cs="Symbol"/>
      <w:sz w:val="28"/>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rFonts w:cs="Symbol"/>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rPr>
  </w:style>
  <w:style w:type="character" w:styleId="ListLabel67">
    <w:name w:val="ListLabel 67"/>
    <w:qFormat/>
    <w:rPr>
      <w:rFonts w:cs="Courier New"/>
    </w:rPr>
  </w:style>
  <w:style w:type="character" w:styleId="ListLabel68">
    <w:name w:val="ListLabel 68"/>
    <w:qFormat/>
    <w:rPr>
      <w:rFonts w:cs="Wingdings"/>
    </w:rPr>
  </w:style>
  <w:style w:type="paragraph" w:styleId="Style21" w:customStyle="1">
    <w:name w:val="Заголовок"/>
    <w:basedOn w:val="Normal"/>
    <w:next w:val="Style22"/>
    <w:qFormat/>
    <w:pPr>
      <w:keepNext w:val="true"/>
      <w:spacing w:before="240" w:after="120"/>
    </w:pPr>
    <w:rPr>
      <w:rFonts w:ascii="Liberation Sans" w:hAnsi="Liberation Sans" w:eastAsia="Lucida Sans Unicode" w:cs="Mangal"/>
      <w:sz w:val="28"/>
      <w:szCs w:val="28"/>
    </w:rPr>
  </w:style>
  <w:style w:type="paragraph" w:styleId="Style22">
    <w:name w:val="Body Text"/>
    <w:basedOn w:val="Normal"/>
    <w:rsid w:val="000b1abd"/>
    <w:pPr>
      <w:spacing w:lineRule="auto" w:line="240" w:before="0" w:after="0"/>
      <w:jc w:val="both"/>
      <w:textAlignment w:val="baseline"/>
    </w:pPr>
    <w:rPr>
      <w:rFonts w:ascii="Times New Roman" w:hAnsi="Times New Roman" w:eastAsia="Calibri" w:cs="Times New Roman"/>
      <w:sz w:val="24"/>
      <w:szCs w:val="20"/>
      <w:lang w:val="en-US" w:eastAsia="ru-RU"/>
    </w:rPr>
  </w:style>
  <w:style w:type="paragraph" w:styleId="Style23">
    <w:name w:val="List"/>
    <w:basedOn w:val="Style22"/>
    <w:pPr/>
    <w:rPr>
      <w:rFonts w:cs="Mangal"/>
    </w:rPr>
  </w:style>
  <w:style w:type="paragraph" w:styleId="Style24">
    <w:name w:val="Caption"/>
    <w:basedOn w:val="Normal"/>
    <w:qFormat/>
    <w:pPr>
      <w:suppressLineNumbers/>
      <w:spacing w:before="120" w:after="120"/>
    </w:pPr>
    <w:rPr>
      <w:rFonts w:cs="Mangal"/>
      <w:i/>
      <w:iCs/>
      <w:sz w:val="24"/>
      <w:szCs w:val="24"/>
    </w:rPr>
  </w:style>
  <w:style w:type="paragraph" w:styleId="Style25">
    <w:name w:val="Указатель"/>
    <w:basedOn w:val="Normal"/>
    <w:qFormat/>
    <w:pPr>
      <w:suppressLineNumbers/>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heading">
    <w:name w:val="index heading"/>
    <w:basedOn w:val="Normal"/>
    <w:qFormat/>
    <w:pPr>
      <w:suppressLineNumbers/>
    </w:pPr>
    <w:rPr>
      <w:rFonts w:cs="Mangal"/>
    </w:rPr>
  </w:style>
  <w:style w:type="paragraph" w:styleId="ListParagraph">
    <w:name w:val="List Paragraph"/>
    <w:basedOn w:val="Normal"/>
    <w:qFormat/>
    <w:pPr>
      <w:spacing w:before="0" w:after="200"/>
      <w:ind w:left="720" w:hanging="0"/>
      <w:contextualSpacing/>
    </w:pPr>
    <w:rPr/>
  </w:style>
  <w:style w:type="paragraph" w:styleId="Style26">
    <w:name w:val="Header"/>
    <w:basedOn w:val="Normal"/>
    <w:uiPriority w:val="99"/>
    <w:unhideWhenUsed/>
    <w:rsid w:val="000b1abd"/>
    <w:pPr>
      <w:tabs>
        <w:tab w:val="center" w:pos="4677" w:leader="none"/>
        <w:tab w:val="right" w:pos="9355" w:leader="none"/>
      </w:tabs>
      <w:spacing w:lineRule="auto" w:line="240" w:before="0" w:after="0"/>
    </w:pPr>
    <w:rPr/>
  </w:style>
  <w:style w:type="paragraph" w:styleId="BalloonText">
    <w:name w:val="Balloon Text"/>
    <w:basedOn w:val="Normal"/>
    <w:uiPriority w:val="99"/>
    <w:semiHidden/>
    <w:unhideWhenUsed/>
    <w:qFormat/>
    <w:rsid w:val="000b1abd"/>
    <w:pPr>
      <w:spacing w:lineRule="auto" w:line="240" w:before="0" w:after="0"/>
    </w:pPr>
    <w:rPr>
      <w:rFonts w:ascii="Tahoma" w:hAnsi="Tahoma" w:cs="Tahoma"/>
      <w:sz w:val="16"/>
      <w:szCs w:val="16"/>
    </w:rPr>
  </w:style>
  <w:style w:type="paragraph" w:styleId="Style27">
    <w:name w:val="Footer"/>
    <w:basedOn w:val="Normal"/>
    <w:uiPriority w:val="99"/>
    <w:unhideWhenUsed/>
    <w:rsid w:val="000b1abd"/>
    <w:pPr>
      <w:tabs>
        <w:tab w:val="center" w:pos="4677" w:leader="none"/>
        <w:tab w:val="right" w:pos="9355" w:leader="none"/>
      </w:tabs>
      <w:spacing w:lineRule="auto" w:line="240" w:before="0" w:after="0"/>
    </w:pPr>
    <w:rPr/>
  </w:style>
  <w:style w:type="paragraph" w:styleId="Default" w:customStyle="1">
    <w:name w:val="Default"/>
    <w:qFormat/>
    <w:rsid w:val="007b0e8c"/>
    <w:pPr>
      <w:widowControl/>
      <w:bidi w:val="0"/>
      <w:jc w:val="left"/>
    </w:pPr>
    <w:rPr>
      <w:rFonts w:ascii="Times New Roman" w:hAnsi="Times New Roman" w:eastAsia="Calibri" w:cs="Times New Roman"/>
      <w:color w:val="000000"/>
      <w:kern w:val="0"/>
      <w:sz w:val="24"/>
      <w:szCs w:val="24"/>
      <w:lang w:val="ru-RU" w:eastAsia="en-US" w:bidi="ar-SA"/>
    </w:rPr>
  </w:style>
  <w:style w:type="paragraph" w:styleId="11" w:customStyle="1">
    <w:name w:val="Основной текст1"/>
    <w:basedOn w:val="Normal"/>
    <w:qFormat/>
    <w:rsid w:val="00a4225f"/>
    <w:pPr>
      <w:widowControl w:val="false"/>
      <w:shd w:val="clear" w:color="auto" w:fill="FFFFFF"/>
      <w:spacing w:lineRule="auto" w:line="240" w:before="120" w:after="0"/>
    </w:pPr>
    <w:rPr>
      <w:rFonts w:ascii="Times New Roman" w:hAnsi="Times New Roman" w:eastAsia="Times New Roman" w:cs="Times New Roman"/>
      <w:sz w:val="26"/>
      <w:szCs w:val="26"/>
    </w:rPr>
  </w:style>
  <w:style w:type="paragraph" w:styleId="41" w:customStyle="1">
    <w:name w:val="Основной текст (4)"/>
    <w:basedOn w:val="Normal"/>
    <w:link w:val="4"/>
    <w:qFormat/>
    <w:rsid w:val="00a4225f"/>
    <w:pPr>
      <w:widowControl w:val="false"/>
      <w:shd w:val="clear" w:color="auto" w:fill="FFFFFF"/>
      <w:spacing w:lineRule="exact" w:line="428" w:before="0" w:after="360"/>
      <w:jc w:val="both"/>
    </w:pPr>
    <w:rPr>
      <w:rFonts w:ascii="Times New Roman" w:hAnsi="Times New Roman" w:eastAsia="Times New Roman" w:cs="Times New Roman"/>
      <w:sz w:val="26"/>
      <w:szCs w:val="26"/>
    </w:rPr>
  </w:style>
  <w:style w:type="paragraph" w:styleId="91" w:customStyle="1">
    <w:name w:val="Основной текст (9)"/>
    <w:basedOn w:val="Normal"/>
    <w:link w:val="9"/>
    <w:qFormat/>
    <w:rsid w:val="00a4225f"/>
    <w:pPr>
      <w:widowControl w:val="false"/>
      <w:shd w:val="clear" w:color="auto" w:fill="FFFFFF"/>
      <w:spacing w:lineRule="auto" w:line="240" w:before="0" w:after="240"/>
    </w:pPr>
    <w:rPr>
      <w:rFonts w:ascii="Times New Roman" w:hAnsi="Times New Roman" w:eastAsia="Times New Roman" w:cs="Times New Roman"/>
      <w:b/>
      <w:bCs/>
      <w:sz w:val="25"/>
      <w:szCs w:val="25"/>
    </w:rPr>
  </w:style>
  <w:style w:type="paragraph" w:styleId="102" w:customStyle="1">
    <w:name w:val="Основной текст (10)"/>
    <w:basedOn w:val="Normal"/>
    <w:qFormat/>
    <w:rsid w:val="00a4225f"/>
    <w:pPr>
      <w:widowControl w:val="false"/>
      <w:shd w:val="clear" w:color="auto" w:fill="FFFFFF"/>
      <w:spacing w:lineRule="exact" w:line="324" w:before="0" w:after="0"/>
      <w:ind w:firstLine="580"/>
      <w:jc w:val="both"/>
    </w:pPr>
    <w:rPr>
      <w:rFonts w:ascii="Times New Roman" w:hAnsi="Times New Roman" w:eastAsia="Times New Roman" w:cs="Times New Roman"/>
      <w:b/>
      <w:bCs/>
      <w:i/>
      <w:iCs/>
      <w:sz w:val="26"/>
      <w:szCs w:val="26"/>
    </w:rPr>
  </w:style>
  <w:style w:type="paragraph" w:styleId="21" w:customStyle="1">
    <w:name w:val="Заголовок №2"/>
    <w:basedOn w:val="Normal"/>
    <w:link w:val="2"/>
    <w:qFormat/>
    <w:rsid w:val="00a4225f"/>
    <w:pPr>
      <w:widowControl w:val="false"/>
      <w:shd w:val="clear" w:color="auto" w:fill="FFFFFF"/>
      <w:spacing w:lineRule="auto" w:line="240" w:before="240" w:after="240"/>
      <w:ind w:firstLine="580"/>
      <w:jc w:val="both"/>
      <w:outlineLvl w:val="1"/>
    </w:pPr>
    <w:rPr>
      <w:rFonts w:ascii="Times New Roman" w:hAnsi="Times New Roman" w:eastAsia="Times New Roman" w:cs="Times New Roman"/>
      <w:b/>
      <w:bCs/>
      <w:sz w:val="25"/>
      <w:szCs w:val="25"/>
    </w:rPr>
  </w:style>
  <w:style w:type="paragraph" w:styleId="12" w:customStyle="1">
    <w:name w:val="Обычный (веб)1"/>
    <w:basedOn w:val="Normal"/>
    <w:qFormat/>
    <w:pPr>
      <w:spacing w:lineRule="atLeast" w:line="100" w:before="28" w:after="28"/>
    </w:pPr>
    <w:rPr>
      <w:rFonts w:eastAsia="Times New Roman" w:cs="Times New Roman"/>
      <w:kern w:val="2"/>
      <w:szCs w:val="24"/>
      <w:lang w:eastAsia="ar-SA"/>
    </w:rPr>
  </w:style>
  <w:style w:type="paragraph" w:styleId="Pa5" w:customStyle="1">
    <w:name w:val="Pa5"/>
    <w:basedOn w:val="Default"/>
    <w:qFormat/>
    <w:pPr>
      <w:spacing w:lineRule="atLeast" w:line="181"/>
    </w:pPr>
    <w:rPr/>
  </w:style>
  <w:style w:type="paragraph" w:styleId="NormalWeb">
    <w:name w:val="Normal (Web)"/>
    <w:basedOn w:val="Normal"/>
    <w:qFormat/>
    <w:pPr>
      <w:spacing w:lineRule="auto" w:line="240" w:beforeAutospacing="1" w:after="119"/>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4">
    <w:name w:val="Table Grid"/>
    <w:basedOn w:val="a1"/>
    <w:uiPriority w:val="59"/>
    <w:rsid w:val="008153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yperlink" Target="consultantplus://offline/ref=8B01038FBD8A7DC3F489D532067303DA7B0C129F08F75AFD7CF2F4ABE55243FC87D9C4E120A28686EA1766771B1FA1B458CD3DD26A8DD07345I5P" TargetMode="External"/><Relationship Id="rId9" Type="http://schemas.openxmlformats.org/officeDocument/2006/relationships/hyperlink" Target="consultantplus://offline/ref=8B01038FBD8A7DC3F489D532067303DA7B0C129F08F75AFD7CF2F4ABE55243FC87D9C4E120A28686E71766771B1FA1B458CD3DD26A8DD07345I5P" TargetMode="External"/><Relationship Id="rId10" Type="http://schemas.openxmlformats.org/officeDocument/2006/relationships/hyperlink" Target="consultantplus://offline/ref=F12C536ED5DE5B2D7B1F1C6F9B671CC5371D4CF5656E2233FE9957BED1A19D1692956C384E11B5839CEC3DD37EB91DE2799F6575D4197AD8BEK3P" TargetMode="Externa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211E5-B734-47D7-BA04-5959C217C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Application>LibreOffice/5.4.7.2$Windows_x86 LibreOffice_project/c838ef25c16710f8838b1faec480ebba495259d0</Application>
  <Pages>33</Pages>
  <Words>10929</Words>
  <Characters>79393</Characters>
  <CharactersWithSpaces>90245</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2019-03-28T16:47:00Z</dcterms:created>
  <dc:creator>Елена Миронова</dc:creator>
  <dc:description/>
  <dc:language>ru-RU</dc:language>
  <cp:lastModifiedBy/>
  <dcterms:modified xsi:type="dcterms:W3CDTF">2019-08-26T15:53:10Z</dcterms:modified>
  <cp:revision>106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