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2B" w:rsidRDefault="005653E6">
      <w:r>
        <w:rPr>
          <w:noProof/>
          <w:lang w:eastAsia="ru-RU"/>
        </w:rPr>
        <w:drawing>
          <wp:inline distT="0" distB="0" distL="0" distR="0">
            <wp:extent cx="6667498" cy="885825"/>
            <wp:effectExtent l="0" t="0" r="635" b="0"/>
            <wp:docPr id="1" name="Рисунок 1" descr="Описание: C:\Users\god\Desktop\presentation\Header2Lig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писание: C:\Users\god\Desktop\presentation\Header2Light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938" cy="88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lgerian" w:eastAsia="Times New Roman" w:hAnsi="Algerian" w:cs="Arial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ПОЯСНИТЕЛЬНАЯ</w:t>
      </w:r>
      <w:r w:rsidRPr="005653E6">
        <w:rPr>
          <w:rFonts w:ascii="Algerian" w:eastAsia="Times New Roman" w:hAnsi="Algerian" w:cs="Arial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ЗАПИСКА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К</w:t>
      </w:r>
      <w:r w:rsidRPr="005653E6">
        <w:rPr>
          <w:rFonts w:ascii="Algerian" w:eastAsia="Times New Roman" w:hAnsi="Algerian" w:cs="Arial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ДОКЛАДУ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ГЛАВЫ</w:t>
      </w:r>
      <w:r w:rsidRPr="005653E6">
        <w:rPr>
          <w:rFonts w:ascii="Algerian" w:eastAsia="Times New Roman" w:hAnsi="Algerian" w:cs="Arial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ЧАМЗИНСКОГО</w:t>
      </w:r>
      <w:r w:rsidRPr="005653E6">
        <w:rPr>
          <w:rFonts w:ascii="Algerian" w:eastAsia="Times New Roman" w:hAnsi="Algerian" w:cs="Arial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МУНИЦИПАЛЬНОГО</w:t>
      </w:r>
      <w:r w:rsidRPr="005653E6">
        <w:rPr>
          <w:rFonts w:ascii="Algerian" w:eastAsia="Times New Roman" w:hAnsi="Algerian" w:cs="Arial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РАЙОНА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5653E6">
        <w:rPr>
          <w:rFonts w:ascii="Arial" w:eastAsia="Times New Roman" w:hAnsi="Arial" w:cs="Times New Roman"/>
          <w:b/>
          <w:color w:val="C0504D" w:themeColor="accent2"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РЕСПУБЛИКИ МОРДОВИЯ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lgerian" w:eastAsia="Times New Roman" w:hAnsi="Algerian" w:cs="Arial"/>
          <w:b/>
          <w:sz w:val="44"/>
          <w:szCs w:val="44"/>
          <w:lang w:eastAsia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5653E6" w:rsidRPr="005653E6" w:rsidRDefault="005653E6" w:rsidP="005653E6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  <w:t xml:space="preserve">о достигнутых значениях показателей для оценки </w:t>
      </w:r>
      <w:proofErr w:type="gramStart"/>
      <w:r w:rsidRPr="005653E6"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  <w:t>эффективности деятельности органов местного самоуправления городских округов</w:t>
      </w:r>
      <w:proofErr w:type="gramEnd"/>
      <w:r w:rsidRPr="005653E6"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  <w:t xml:space="preserve"> и муниципальных районов за 2018 год и</w:t>
      </w:r>
    </w:p>
    <w:p w:rsidR="005653E6" w:rsidRDefault="005653E6" w:rsidP="005653E6">
      <w:pPr>
        <w:jc w:val="center"/>
      </w:pPr>
      <w:r w:rsidRPr="005653E6"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  <w:t xml:space="preserve">их планируемых </w:t>
      </w:r>
      <w:proofErr w:type="gramStart"/>
      <w:r w:rsidRPr="005653E6"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  <w:t>значениях</w:t>
      </w:r>
      <w:proofErr w:type="gramEnd"/>
      <w:r w:rsidRPr="005653E6">
        <w:rPr>
          <w:rFonts w:ascii="Times New Roman" w:eastAsia="Times New Roman" w:hAnsi="Times New Roman" w:cs="Times New Roman"/>
          <w:b/>
          <w:color w:val="4A442A" w:themeColor="background2" w:themeShade="40"/>
          <w:sz w:val="36"/>
          <w:szCs w:val="36"/>
          <w:lang w:eastAsia="ru-RU"/>
        </w:rPr>
        <w:t xml:space="preserve"> на 3-летний период</w:t>
      </w:r>
    </w:p>
    <w:p w:rsidR="005653E6" w:rsidRDefault="005653E6"/>
    <w:p w:rsidR="005653E6" w:rsidRDefault="005653E6" w:rsidP="005653E6">
      <w:pPr>
        <w:jc w:val="center"/>
      </w:pPr>
      <w:r>
        <w:rPr>
          <w:noProof/>
          <w:lang w:eastAsia="ru-RU"/>
        </w:rPr>
        <w:drawing>
          <wp:inline distT="0" distB="0" distL="0" distR="0" wp14:anchorId="0BD51A4F" wp14:editId="095EF0F0">
            <wp:extent cx="4857750" cy="4587826"/>
            <wp:effectExtent l="0" t="0" r="0" b="3810"/>
            <wp:docPr id="2" name="Picture 2" descr="C:\Users\Андрей\Desktop\фото черновики\cham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Андрей\Desktop\фото черновики\chamz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1689" cy="46387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ПОЯСНИТЕЛЬНАЯ ЗАПИСКА К ДОКЛАДУ ГЛАВЫ </w:t>
      </w: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ЧАМЗИНСКОГО МУНИЦИПАЛЬНОГО РАЙОНА</w:t>
      </w: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Ind w:w="-852" w:type="dxa"/>
        <w:tblLayout w:type="fixed"/>
        <w:tblLook w:val="0000" w:firstRow="0" w:lastRow="0" w:firstColumn="0" w:lastColumn="0" w:noHBand="0" w:noVBand="0"/>
      </w:tblPr>
      <w:tblGrid>
        <w:gridCol w:w="11359"/>
      </w:tblGrid>
      <w:tr w:rsidR="005653E6" w:rsidRPr="005653E6" w:rsidTr="00E60B8B">
        <w:trPr>
          <w:trHeight w:val="376"/>
        </w:trPr>
        <w:tc>
          <w:tcPr>
            <w:tcW w:w="11359" w:type="dxa"/>
            <w:tcBorders>
              <w:bottom w:val="single" w:sz="4" w:space="0" w:color="000000"/>
            </w:tcBorders>
            <w:shd w:val="clear" w:color="auto" w:fill="auto"/>
          </w:tcPr>
          <w:p w:rsidR="005653E6" w:rsidRPr="005653E6" w:rsidRDefault="005653E6" w:rsidP="005653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proofErr w:type="spellStart"/>
            <w:r w:rsidRPr="005653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Цыбакова</w:t>
            </w:r>
            <w:proofErr w:type="spellEnd"/>
            <w:r w:rsidRPr="005653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Вячеслава Геннадьевича</w:t>
            </w:r>
          </w:p>
        </w:tc>
      </w:tr>
    </w:tbl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3886200" cy="2905125"/>
            <wp:effectExtent l="0" t="0" r="0" b="9525"/>
            <wp:docPr id="4" name="Рисунок 4" descr="Описание: C:\Users\2\AppData\Local\Temp\Rar$DIa0.56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2\AppData\Local\Temp\Rar$DIa0.564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«Основные результаты и перспективы деятельности органов местного самоуправления Чамзинского муниципального района по решению вопросов местного значения и обеспечению социально-экономического развития Чамзинского муниципального района».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соответствии с Указом Президента Российской Федерации от 28 апреля 2008г. № 607 «Об оценке эффективности деятельности органов местного самоуправления городских округов и муниципальных районов», Постановлением Правительства Российской Федерации от 17.12.2012г. №1317, Администрацией Чамзинского муниципального района, подготовлен Доклад Главы Чамзинского муниципального района о достигнутых значениях показателей для оценки эффективности деятельности органов местного самоуправления  Чамзинского муниципального района за 2018 год и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их планируемых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значениях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3-летний период.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1.Общие сведения о муниципальном образовании</w:t>
      </w:r>
    </w:p>
    <w:p w:rsid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60B8B" w:rsidRDefault="00BB0D39" w:rsidP="00BB0D39">
      <w:pPr>
        <w:suppressAutoHyphens/>
        <w:spacing w:after="0" w:line="24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BB0D39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ED017E8" wp14:editId="3031D575">
            <wp:simplePos x="0" y="0"/>
            <wp:positionH relativeFrom="column">
              <wp:posOffset>281940</wp:posOffset>
            </wp:positionH>
            <wp:positionV relativeFrom="paragraph">
              <wp:posOffset>57150</wp:posOffset>
            </wp:positionV>
            <wp:extent cx="3314700" cy="206692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066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0D39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5653E6" w:rsidRPr="005653E6" w:rsidRDefault="005653E6" w:rsidP="00BB0D3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Чамзинский район расположен в северо-восточной части Республики Мордовия. Площадь  района составляет 1009,5 кв. километров, протяженность с запада на восток 40 км, с севера на юг 50 км. Район</w:t>
      </w:r>
      <w:r w:rsidR="00E60B8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граничит с шестью муниципальными районами Республики Мордовия.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Рабочий поселок Чамзинка является районным центром и железнодорожной станцией. Благодаря близости к столице республике -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.С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аранску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(48км), обладает выгодным транспортно-географическим положением.  Связь с республиканским центром осуществляется  по Горьковской железной дороге и автомобильной дороге федерального значения  Саранск-Ульяновск.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Административно-территориальная структура района включает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 городских поселения, 10 сельских поселений,  население проживает в 53 населенных пунктах. На 1.01.2019г. численность постоянного населения составила  29737 человек. Городское население, проживающее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п.Комсомольский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составляет 72,9%, сельское -27,1%.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Чамзинский район – район  эффективного многоотраслевого производства. Занимая в Республике около 4% территории и располагая 3,7 % населения, наш район в 2018 году произвел 17,4% промышленного объема,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16,9%  валовой продукции сельского хозяйства в хозяйствах всех категорий в Республике Мордовия, в том числе в отрасли растениеводства -5,5%; в области животноводства-23,6%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освоил  3,1% инвестиций в Республиканском объеме.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 экономического потенциала района составляют промышленное производство и сельское хозяйство.</w:t>
      </w:r>
    </w:p>
    <w:p w:rsidR="005653E6" w:rsidRPr="005653E6" w:rsidRDefault="005653E6" w:rsidP="005653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Ведущими отраслями промышленности являются производство стройматериалов и переработка сельскохозяйственной продукции.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На  территории  района сосредоточены крупные производители строительных материалов: ПАО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Мордовцемент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»- производство цемента, ОАО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Лато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»- производство асбестоцементной продукции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фиброцементных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плит, ООО «Магма»- производство сухих строительных смесей и гипсовых вяжущих;  предприятия пищевой промышленности и переработки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ООО «Юбилейное» - предприятие по переработке мяса, ООО «Мечта» - предприятие по переработке молока,  ООО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КомбиС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»- предприятие по производству комбикормов, круп, растительного масла.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Производством  комплектующих изделий для машиностроения занимается  ООО «Автозапчасть+».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отрасли сельского хозяйства заняты 8 сельскохозяйственных предприятий, на территории района успешно функционируют 13 крестьянских (фермерских) хозяйства. Площадь сельхозугодий составляет 56091га, в том числе пашни 45690га. Основные направления развития: растениеводство, животноводство. В  растениеводстве все хозяйства специализируются на производстве товарного зерна и сахарной свеклы, а также производстве кормов.  В отрасли животноводства наиболее развито мясное птицеводство, производство куриных яиц  и молочное скотоводство. 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Социально-экономическая политика администрации Чамзинского  муниципального района в 2018 году строилась в соответствии с полномочиями органов местного самоуправления, регламентируемыми 131- Федеральным законом "Об общих принципах организации местного самоуправления в Российской Федерации", целями и задачами, поставленными  Прогнозом социально-экономического развития  Чамзинского муниципального района на 2018 год, а также с учетом положений Плана действий Правительства Республики Мордовия по социально-экономическому развитию Республики на 2018 год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, и была ориентирована на развитие экономического потенциала района, повышение эффективности управления, повышение качества жизни населения.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Основными позитивными итогами 2018 года по сравнению с 2017 годом  явились: значительный рост валовой  продукции сельского хозяйства,  рост уровня средней заработной платы, товарооборота.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   итогам   2018 года валовый   районный продукт   оценивается в 44,2 млрд. руб. с  ростом  более 4%.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Отгружено промышленной продукции  в 2018 году на сумму     29889,8 млн. рублей. Район сохраняет значительную долю в размере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17,4 процентов в промышленном производстве Республики,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несмотря на снижение объемов к уровню предыдущего года.</w:t>
      </w:r>
      <w:r w:rsidRPr="005653E6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 </w:t>
      </w:r>
      <w:r w:rsidRPr="005653E6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>В  расчете на 1 жителя объем отгруженной продукции составил 992,0 тыс</w:t>
      </w:r>
      <w:r w:rsidRPr="005653E6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ar-SA"/>
        </w:rPr>
        <w:t xml:space="preserve">. </w:t>
      </w:r>
      <w:r w:rsidRPr="005653E6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>рублей (1 место среди муниципалитетов, выше среднереспубликанского в 4,6 раза; в среднем по РМ – 213,7 тыс. рублей)</w:t>
      </w:r>
      <w:proofErr w:type="gramStart"/>
      <w:r w:rsidRPr="005653E6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>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аиб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ольший удельный вес в структуре промышленного производства по итогам 2018 года занимают предприятия: ООО «Юбилейное»-37,7%, ПАО «Мордовцемент»-30,6%, ООО «КомбиС»-18,7%.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положительной  динамикой к уровню предыдущего завершили 2018 год  общество   «Юбилейное»-101,2%, общество «КомбиС»-116,8%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60B8B" w:rsidRDefault="005653E6" w:rsidP="00E60B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итогам 2018 года сложилась следующая динамика производства основных видов </w:t>
      </w:r>
    </w:p>
    <w:p w:rsidR="00E60B8B" w:rsidRPr="005653E6" w:rsidRDefault="00967DF3" w:rsidP="00E60B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3711907" wp14:editId="04DA0294">
            <wp:simplePos x="0" y="0"/>
            <wp:positionH relativeFrom="column">
              <wp:posOffset>-209550</wp:posOffset>
            </wp:positionH>
            <wp:positionV relativeFrom="paragraph">
              <wp:posOffset>101600</wp:posOffset>
            </wp:positionV>
            <wp:extent cx="3456305" cy="2303780"/>
            <wp:effectExtent l="0" t="0" r="0" b="1270"/>
            <wp:wrapSquare wrapText="bothSides"/>
            <wp:docPr id="8" name="Picture 2" descr="E:\БРОШЮРА\фотографии\2013-04-04\Scan1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E:\БРОШЮРА\фотографии\2013-04-04\Scan10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305" cy="230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продукции предприятий переработки: </w:t>
      </w:r>
      <w:r w:rsidR="00E60B8B"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ООО «Юбилейное»</w:t>
      </w:r>
    </w:p>
    <w:p w:rsidR="00E60B8B" w:rsidRPr="005653E6" w:rsidRDefault="00E60B8B" w:rsidP="00E60B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мясные полуфабрикаты – 2698,8 тонны (110,7% к уровню 2017 года)</w:t>
      </w:r>
    </w:p>
    <w:p w:rsidR="00E60B8B" w:rsidRPr="005653E6" w:rsidRDefault="00E60B8B" w:rsidP="00E60B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мясо и субпродукты- 897,3 тонны (78,7%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колбасные изделия – 2448,8 тонны (165,8% к уровню 2017 года)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куриная продукция -102457,9 тонны (99,2%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куриные полуфабрикаты – 7645,9 тонны (92,7%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мяс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о-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костная мука  -19181,5 тонны (102,5%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ООО «Мечта»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цельномолочная продукция- 53821,6 тонны (102,6%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масло животное- 257 тонн (63,2%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сыры – 67 тонн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69% к уровню 2017 года)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ООО «</w:t>
      </w:r>
      <w:proofErr w:type="spellStart"/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КомбиС</w:t>
      </w:r>
      <w:proofErr w:type="spellEnd"/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»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комбикорма- 326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онн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(110,7%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масло растительное -2860,4 тонн (100,6% к уровню  2017 года) </w:t>
      </w:r>
    </w:p>
    <w:p w:rsidR="005653E6" w:rsidRPr="005653E6" w:rsidRDefault="00967DF3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08DB7F6" wp14:editId="47D73055">
            <wp:simplePos x="0" y="0"/>
            <wp:positionH relativeFrom="column">
              <wp:posOffset>4562475</wp:posOffset>
            </wp:positionH>
            <wp:positionV relativeFrom="paragraph">
              <wp:posOffset>183515</wp:posOffset>
            </wp:positionV>
            <wp:extent cx="1981200" cy="2314575"/>
            <wp:effectExtent l="0" t="0" r="0" b="9525"/>
            <wp:wrapSquare wrapText="bothSides"/>
            <wp:docPr id="7" name="Рисунок 6" descr="IMG_20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IMG_209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крупы- 36 тонн (4% к уровню 2017 года)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соя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полножирная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13346 тонн  (85%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жмых -5886тонн  (99,5%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было произведено основных видов  продукции стройматериалов: 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ПАО « </w:t>
      </w:r>
      <w:proofErr w:type="spellStart"/>
      <w:r w:rsidRPr="005653E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Мордовцемент</w:t>
      </w:r>
      <w:proofErr w:type="spellEnd"/>
      <w:r w:rsidRPr="005653E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»</w:t>
      </w:r>
      <w:r w:rsidR="00967DF3" w:rsidRPr="00967DF3">
        <w:rPr>
          <w:noProof/>
          <w:lang w:eastAsia="ru-RU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цемент –2687,5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.т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онн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(87,3% к  уровню 2017 года) 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ОАО «</w:t>
      </w:r>
      <w:proofErr w:type="spellStart"/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Лато</w:t>
      </w:r>
      <w:proofErr w:type="spellEnd"/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»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листы асбестоцементные – 29,0 млн. условных плит (76%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-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фиброцементные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плиты- 18,0 млн. условных плит (83%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асбестоцементные трубы- 855 км условных труб (111% к уровню 2017 года)  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ООО «Магма»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сухие строительные смеси -  33,5 тыс. тонн (72,8% к уровню 2017 года)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пазогребневые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плиты – 316,2 тыс. кв. м (52,3% к уровню 2017 года),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гипсокартоновые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листы -     13,4 млн. кв. м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74,1% к уровню 2017 года),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гипсовые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вяжущие – 1,8 тыс. тонн (75% к уровню 2017 года)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«Магма» неизменно входит в первую пятерку российских производителей строительной продукции из гипсового вяжущего и занимает второе место по экспорту продукции за пределы России.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ООО «Магма» выпускает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сорока видов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сухих строительных смесей под торговыми марками МАГМА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Stolz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 Вся продукция выпускается на самом современном оборудовании немецкой  фирмы m-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tec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 </w:t>
      </w: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Вся продукция, выпускаемая ООО «Магма», сертифицирована. </w:t>
      </w:r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>ООО «</w:t>
      </w:r>
      <w:proofErr w:type="spellStart"/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>Лато</w:t>
      </w:r>
      <w:proofErr w:type="spellEnd"/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 также   работает по международному  сертификату соответствия СЕ на </w:t>
      </w:r>
      <w:proofErr w:type="spellStart"/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>фиброцементные</w:t>
      </w:r>
      <w:proofErr w:type="spellEnd"/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плиты </w:t>
      </w:r>
      <w:r w:rsidRPr="005653E6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LATONIT</w:t>
      </w:r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Сельское хозяйство – </w:t>
      </w:r>
      <w:r w:rsidRPr="005653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>одна из системообразующих отраслей экономики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района, которая демонстрирует устойчивую, качественную, положительную динамику. </w:t>
      </w:r>
      <w:r w:rsidRPr="005653E6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ar-SA"/>
        </w:rPr>
        <w:t xml:space="preserve">Вне зависимости от почвенно-климатических условий  вкладываются очень большие средства в его развитие.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Сегодня это современная, привлекательная для инвестиций отрасль, один из локомотивов развития экономики района. Продукция агропромышленного комплекс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а-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это в прямом смысле слова наша пища.  Успехи в агропромышленном комплексе складываются из достижений предприятий, его составляющих.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ahoma" w:eastAsia="Times New Roman" w:hAnsi="Tahoma" w:cs="Tahoma"/>
          <w:color w:val="3B3B3B"/>
          <w:sz w:val="18"/>
          <w:szCs w:val="1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2018 сельскохозяйственного года наш район награжден дипломом  «За достижение высоких показателей развития отрасли растениеводства»</w:t>
      </w:r>
      <w:r w:rsidRPr="005653E6">
        <w:rPr>
          <w:rFonts w:ascii="Tahoma" w:eastAsia="Times New Roman" w:hAnsi="Tahoma" w:cs="Tahoma"/>
          <w:color w:val="3B3B3B"/>
          <w:sz w:val="18"/>
          <w:szCs w:val="18"/>
          <w:lang w:eastAsia="ar-SA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B3B3B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ar-SA"/>
        </w:rPr>
        <w:t>Почетные награды за достижение высоких результатов получили Акционерное общество птицефабрика «Чамзинская</w:t>
      </w:r>
      <w:proofErr w:type="gram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ar-SA"/>
        </w:rPr>
        <w:t>»</w:t>
      </w: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</w:t>
      </w:r>
      <w:proofErr w:type="gramEnd"/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за производственные показатели в отрасли животноводства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производству мяса птицы    </w:t>
      </w: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ar-SA"/>
        </w:rPr>
        <w:t xml:space="preserve"> и предприятие «Юбилейное».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Признано победителем за производственные достижения в отрасли растениеводства по итогам 2018 сельскохозяйственного года Общество с ограниченной ответственностью "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Калиновское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5653E6" w:rsidRPr="005653E6" w:rsidRDefault="007C5523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DD503D1" wp14:editId="30004F5B">
            <wp:simplePos x="0" y="0"/>
            <wp:positionH relativeFrom="column">
              <wp:posOffset>3580765</wp:posOffset>
            </wp:positionH>
            <wp:positionV relativeFrom="paragraph">
              <wp:posOffset>1434465</wp:posOffset>
            </wp:positionV>
            <wp:extent cx="3057525" cy="1797050"/>
            <wp:effectExtent l="0" t="0" r="9525" b="0"/>
            <wp:wrapSquare wrapText="bothSides"/>
            <wp:docPr id="11" name="Рисунок 10" descr="C:\Users\2\AppData\Local\Temp\Rar$DIa0.789\DSC0634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C:\Users\2\AppData\Local\Temp\Rar$DIa0.789\DSC0634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В 2018 году 20 крупнейших российских производителей вместе выпустили почти 4,1 млн. тонн мяса бройлера в живом весе или около 66% от объема производства мяса птицы во всех </w:t>
      </w:r>
      <w:proofErr w:type="spellStart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сельхозорганизациях</w:t>
      </w:r>
      <w:proofErr w:type="spellEnd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страны. По сравнению с 2017 годом результаты почти не изменились: тогда топ-20 игроков также выпустили чуть меньше 4,1 </w:t>
      </w:r>
      <w:proofErr w:type="gramStart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млн</w:t>
      </w:r>
      <w:proofErr w:type="gramEnd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т мяса бройлера в стране, а их доля составляла те же 66%. На десятую позицию рейтинга «</w:t>
      </w:r>
      <w:proofErr w:type="spellStart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АгроИнвестора</w:t>
      </w:r>
      <w:proofErr w:type="spellEnd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» поставил </w:t>
      </w:r>
      <w:proofErr w:type="spellStart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агрогруппу</w:t>
      </w:r>
      <w:proofErr w:type="spellEnd"/>
      <w:r w:rsidR="005653E6"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«Хорошее дело» (именуемое ГК «Сфера») с объемом 129 тыс. тонн и попадает в десятку крупнейших. Напомним, что по итогам 2015-го года агрохолдинг занимал 17 место в указанном исследовании, в 2016-м – 13-е место, в 2017-м - завершал топ-10 предприятий России.</w:t>
      </w:r>
      <w:r w:rsidRPr="007C5523">
        <w:rPr>
          <w:noProof/>
          <w:lang w:eastAsia="ru-RU"/>
        </w:rPr>
        <w:t xml:space="preserve"> 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     </w:t>
      </w: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ab/>
        <w:t xml:space="preserve"> Более двух десятков республиканских предприятий по производству и переработке сельхозпродукции стали участниками Российской агропромышленной выставки «Золотая осень», которая прошла на </w:t>
      </w: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lastRenderedPageBreak/>
        <w:t xml:space="preserve">территории ВДНХ в г. Москва. Экспозиция продуктов </w:t>
      </w:r>
      <w:proofErr w:type="spell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агрогруппы</w:t>
      </w:r>
      <w:proofErr w:type="spellEnd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«Хорошее дело» была представлена двумя нашими предприятиями – ООО «Мечта», ООО «Юбилейное»</w:t>
      </w:r>
      <w:proofErr w:type="gram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.</w:t>
      </w:r>
      <w:proofErr w:type="gramEnd"/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         </w:t>
      </w:r>
      <w:proofErr w:type="gram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ООО «Мечта» (Торговая марка «Ясный луг») представили на выставке молочные продукты: молоко, кефир, ряженку, йогурты, сыры.</w:t>
      </w:r>
      <w:proofErr w:type="gramEnd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Представител</w:t>
      </w:r>
      <w:proofErr w:type="gram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и ООО</w:t>
      </w:r>
      <w:proofErr w:type="gramEnd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«Юбилейное» (Торговая марка «Хорошее дело») презентовали на агропромышленном форуме не только популярные продукты, которым потребители уже выставили высокую оценку, но и новинки – к примеру, немецкие колбаски. В ходе выставки павильон Мордовии и стенды «Хорошего дела» посетили представители профильных министерств и ведомств, главы регионов.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        Три золотых медали и одну серебряную привезли в Мордовию предприятия </w:t>
      </w:r>
      <w:proofErr w:type="spell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агрогруппы</w:t>
      </w:r>
      <w:proofErr w:type="spellEnd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 «Хорошее дело».</w:t>
      </w:r>
      <w:r w:rsidRPr="005653E6">
        <w:rPr>
          <w:rFonts w:ascii="Tahoma" w:eastAsia="Times New Roman" w:hAnsi="Tahoma" w:cs="Tahoma"/>
          <w:color w:val="3B3B3B"/>
          <w:sz w:val="18"/>
          <w:szCs w:val="1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Золотыми медалями отмечена продукция ТМ «Хорошее дело»: колбаски «Бюргерские» из говядины, сосиски «</w:t>
      </w:r>
      <w:proofErr w:type="spell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Вюрстенмастер</w:t>
      </w:r>
      <w:proofErr w:type="spellEnd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 xml:space="preserve">» в ассортименте, молоко питьевое </w:t>
      </w:r>
      <w:proofErr w:type="spellStart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ультрапастеризованное</w:t>
      </w:r>
      <w:proofErr w:type="spellEnd"/>
      <w:r w:rsidRPr="005653E6">
        <w:rPr>
          <w:rFonts w:ascii="Times New Roman" w:eastAsia="Times New Roman" w:hAnsi="Times New Roman" w:cs="Times New Roman"/>
          <w:color w:val="3B3B3B"/>
          <w:sz w:val="28"/>
          <w:szCs w:val="28"/>
          <w:lang w:eastAsia="ru-RU"/>
        </w:rPr>
        <w:t>. Серебро конкурса у копчено-вареных «Куриных трубочек».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Сельскохозяйственными предприятиями и крестьянско-фермерскими хозяйствами произведено валовой продукции сельского хозяйства на сумму 10096,1 млн. руб., в том числе  продукции растениеводства  на сумму 1215,2 млн. рублей, продукции животноводства на сумму 8880,9 млн.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Стоимость валовой продукции сельского хозяйства района составила 16,9% в стоимости валовой продукции сельского хозяйства в хозяйствах всех категорий в Республике Мордовия, в том числе в отрасли растениеводства -5,5%; в области животноводства-23,6%.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Зерновыми и зернобобовыми культурами   под урожай 2018года было засеяно  более 23 тыс. га. Благодаря бюджетной поддержке в 2018 году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сельхозтоваропроизводителями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обеспечен валовый сбор зерна 105,4 тыс. тонн, что больше уровня 2017 года на 5,7%. Урожайность зерновых и зернобобовых  в бункерном весе 50,3 ц/га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Республике Мордовия -28,1ц/га), что составило 125,8%     к показателю  2017года.     Убрано кукурузы на  зерно    52 тыс. тонн, что больше уровня 2017 года в 7 раз. Урожайность кукурузы на зерно составила 82,4ц/га, что больше урожайности 2017года на 53,5ц/га. Сахарной свеклы  убрано  36тыс. тонн, что меньше уровня 2017года на 9384 тонны. Урожайность составила 311,1ц/га., что меньше урожайности 2017года на 76,1ц/га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Наибольших объемов производства зерновых и зернобобовых получил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и ООО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«Магма ХД» -74546 тонн с урожайностью 70,2ц/га; ООО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Калиновское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»- 11473тонны с урожайностью 45ц/га.</w:t>
      </w:r>
    </w:p>
    <w:p w:rsidR="005653E6" w:rsidRPr="005653E6" w:rsidRDefault="007C5523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F5EF71B" wp14:editId="693AA0A5">
            <wp:simplePos x="0" y="0"/>
            <wp:positionH relativeFrom="column">
              <wp:posOffset>266700</wp:posOffset>
            </wp:positionH>
            <wp:positionV relativeFrom="paragraph">
              <wp:posOffset>0</wp:posOffset>
            </wp:positionV>
            <wp:extent cx="2143125" cy="2357120"/>
            <wp:effectExtent l="0" t="0" r="9525" b="5080"/>
            <wp:wrapSquare wrapText="bothSides"/>
            <wp:docPr id="20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892" t="3668" r="5084" b="22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35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Основой аграрного производства района является производство животноводческой продукции. За 2018год  сельскохозяйственными предприятиями и крестьянско-фермерскими хозяйствами произведено мяса скота и птицы  132,4 тыс. тонн</w:t>
      </w:r>
      <w:proofErr w:type="gram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proofErr w:type="gram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proofErr w:type="gram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емп роста к 2017году-101,7%). Доля в республике 43,7%. Производство мяса скота и птицы на душу населения составило на душу населения -4460кг., что на 147кг больше уровня прошлого года.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32"/>
          <w:szCs w:val="32"/>
          <w:lang w:eastAsia="ar-SA"/>
        </w:rPr>
        <w:tab/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Наибольший удельный вес в производстве мяса скота и птицы занимает производство мяса птицы АО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«Птицефабрика «Чамзинская», которое  составило 98% в производстве всего мяса скота и птицы. В республиканском производстве мяса птицы район занимает 58,8%.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 год  сельскохозяйственными предприятиями и крестьянско-фермерскими хозяйствами произведено молока 22629 тонн, что на 4,5% больше уровня прошлого года.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Производство молока на душу населения составило 762кг., что на 4кг больше уровня прошлого года.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Надой на 1 фуражную корову в сельскохозяйственных предприятиях и крестьянско-фермерских хозяйствах  за 2018год составил 6874кг.  с темпом роста 100,6% ,  что на 38кг больше уровня 2017года, и на 554 кг больше республиканского уровня.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Производство куриного яйца увеличилось на 1% и составило 305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млн.шт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., с яйценоскостью от одной курицы-несушки  311шт., что составляет республиканский уровень яйценоскости одной курицы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Поголовье КРС в общественном секторе составило 8227 головы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что на 565 голов больше 2017года, в том числе поголовье коров составило 3226 голов, что на 53 головы больше уровня 2017года.  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Поголовье свиней в общественном секторе составило 39228голов, поголовье птицы  составило 8293 тыс. голов (темп роста 115%).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 течение года с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ельскохозяйственными предприятиями и крестьянско-фермерскими хозяйствами  получено субсидий  из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федерального бюджета и бюджета Республики Мордовия  профинансировано субсидий на сумму более 722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млн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, в том числе по подпрограмме «Устойчивое развитие сельских территорий»  -21 млн. рублей.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Среднесписочная численность в сельскохозяйственных предприятиях     составила 2369 чел. Производительность труда  в сельскохозяйственных предприятиях составила 99,6% к уровню прошлого года. Среднемесячная заработная плата    увеличилась на 7,6%  и составила 28461 рублей.          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Среднесписочная численность на предприятиях переработки  составила 1861 чел. Среднемесячная зарплата на предприятиях переработки   составила 30746,9 рублей.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 целом в агропромышленном комплексе среднесписочная численность работников за 2018 год составила 4230 чел., среднемесячная заработная     плата составила 31577рублей.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Выручка от реализации продукции сельскохозяйственных предприятий  по сравнению с прошлым годом увеличилась на 18% и составила 12929 млн. рублей.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Уровень рентабельности от реализации продукции сельскохозяйственных предприятий составил 23%.  Самого высокого уровня рентабельности добилось ООО «Магма ХД», который составил 32%.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r w:rsidRPr="005653E6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ab/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2018 года сельскохозяйственными предприятиями получено чистой прибыли 2164,4 млн. рублей.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Доля прибыльных сельскохозяйственных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организаций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общем их числе за 2018год составила 87,5%. В числе убыточных предприятий ООО «Садовод».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MS Mincho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2018 год предприятиями и организациями ( за исключением бюджетных средств) инвестировано в основной капитал более 2 млрд. 055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уб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, в том числе б</w:t>
      </w: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олее 643 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млн.руб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>. инвестиций вложено в сельское хозяйство.</w:t>
      </w:r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Доля в республиканском объеме инвестиций составила 3,1%, это  третья позиция после </w:t>
      </w:r>
      <w:proofErr w:type="spellStart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г</w:t>
      </w:r>
      <w:proofErr w:type="gramStart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.С</w:t>
      </w:r>
      <w:proofErr w:type="gramEnd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аранска</w:t>
      </w:r>
      <w:proofErr w:type="spellEnd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Ковылкинского</w:t>
      </w:r>
      <w:proofErr w:type="spellEnd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 xml:space="preserve"> района. </w:t>
      </w:r>
    </w:p>
    <w:p w:rsidR="005653E6" w:rsidRPr="005653E6" w:rsidRDefault="005653E6" w:rsidP="005653E6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Предприятиями района в ушедшем году реализованы мероприятия  по созданию совершенно новых и техническому обновлению действующих производств</w:t>
      </w:r>
      <w:proofErr w:type="gramStart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ПАО «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Мордовцемент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>» завершило строительство нового отделения помола цемента на полусухом производстве ; в акционерном обществе «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Лато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>» завершен</w:t>
      </w: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монтаж и введена  в эксплуатацию технологическая линия покраски </w:t>
      </w:r>
      <w:proofErr w:type="spellStart"/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фиброцементных</w:t>
      </w:r>
      <w:proofErr w:type="spellEnd"/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плит в «массе»; в обществе  «Магма» запущены технологические  линии производства инертного наполнителя и ангидритового вяжущего. </w:t>
      </w:r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В 2018 году велось  строительство площадок по выращиванию цыплят-бройлеров (</w:t>
      </w:r>
      <w:proofErr w:type="gramStart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Сабур-Мачкасы</w:t>
      </w:r>
      <w:proofErr w:type="gramEnd"/>
      <w:r w:rsidRPr="005653E6">
        <w:rPr>
          <w:rFonts w:ascii="Times New Roman" w:eastAsia="MS Mincho" w:hAnsi="Times New Roman" w:cs="Times New Roman"/>
          <w:sz w:val="28"/>
          <w:szCs w:val="28"/>
          <w:lang w:eastAsia="ru-RU"/>
        </w:rPr>
        <w:t>)  общества «Юбилейное».</w:t>
      </w: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  </w:t>
      </w:r>
    </w:p>
    <w:p w:rsidR="005653E6" w:rsidRPr="005653E6" w:rsidRDefault="005653E6" w:rsidP="005653E6">
      <w:pPr>
        <w:suppressAutoHyphens/>
        <w:autoSpaceDN w:val="0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 xml:space="preserve">В 2018 году отмечено развитие социальной сферы и жилья. На территории района  введено в эксплуатацию  жилья общей площадью </w:t>
      </w:r>
      <w:r w:rsidRPr="005653E6">
        <w:rPr>
          <w:rFonts w:ascii="Times New Roman" w:eastAsia="Lucida Sans Unicode" w:hAnsi="Times New Roman" w:cs="Times New Roman"/>
          <w:kern w:val="2"/>
          <w:sz w:val="28"/>
          <w:szCs w:val="34"/>
          <w:lang w:eastAsia="ru-RU"/>
        </w:rPr>
        <w:t xml:space="preserve">  6467 кв. м   индивидуального жилищного строительства. Выполнение прогноза на 72,7%, темп роста к уровню прошлого года  75%, </w:t>
      </w:r>
      <w:r w:rsidRPr="005653E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ru-RU"/>
        </w:rPr>
        <w:t xml:space="preserve"> в связи с отсутствием ввода многоквартирного жилья. </w:t>
      </w:r>
    </w:p>
    <w:p w:rsidR="005653E6" w:rsidRPr="005653E6" w:rsidRDefault="005653E6" w:rsidP="005653E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 2018 года в районе  отмечен рост среднемесячной зарплаты 105,5% к уровню  прошлого года. Среднемесячная заработная плата  по крупным и средним предприятиям района     составила  29369 рублей, что выше среднереспубликанского уровня на 927руб. В среднем  по Республике Мордовия   за этот период  среднемесячная зарплата составила 28442 руб. (с темпом роста- 108,9%).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Потребительский рынок района, состоящий из сети объектов торговли, предприятий общественного питания, а также сферы платных бытовых услуг является одним из самых динамично развивающихся секторов экономики района, в котором занята основная масса предприятий малого и среднего бизнеса. Главной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задачей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является создание условий для удовлетворения спроса населения на потребительские товары и услуги. 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Оборот розничной торговли за 2018 год составил 3614,8млн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уб., что составляет 103,4%  к соответствующему периоду прошлого года. Оборот розничной торговли на 72,9% формировался торгующими организациями и индивидуальными предпринимателями, реализующими товары вне рынка, доля продажи товаров на рынке составила 27,1%.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объеме оборота розничной торговли 37,3% занимает оборот крупных и средних предприятий,  24,6% - малых предприятий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Продажа товаров на душу населения составила 120,0 тыс. рублей по сравнению с прошлым годом  она увеличилась на 104,2%.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Предприятиями общественного питания района реализовано продукции на 65350 тыс. руб.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Развитие сети фирменных магазинов способствует насыщению рынка продукцией местных производителей. В настоящее время в районе представлена значительная доля продукции собственного производства: хлеба и хлебобулочных изделий  83%, молочных продуктов  86%, сыра 74%, колбасных изделий 73%,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ликеро-водочной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продукции 80,0%.      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Ежегодно ведется  работа по сдерживанию уровня безработицы и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контролю  за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ситуацией на рынке труда.              Н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             1 января  2019 года официально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зарегистрированы в органах службы занятости 200  безработных  или 1,1% экономически активного населения, на уровне прошлого года.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2018 году была продолжена работа администрации  муниципального района по  созданию благоприятного инвестиционного климата и развитию социальной сферы района.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Изменения в социальной сфере связаны с реализацией социальных программ и ростом финансовых возможностей бюджетов на муниципальном уровне. Расходная часть консолидированного  бюджета Чамзинского муниципального района в 2018 году составила  549,3 млн. рублей.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Оценка эффективности деятельности органов местного самоуправления проведена по достигнутому уровню и динамике показателей социально-экономического развития, эффективности расходования средств бюджетов, результатам опросов населения, проводимых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Оценка эффективности деятельности органов местного самоуправления будет стимулировать реформы в отраслях социальной сферы муниципальных образований и внедрение прогрессивных методов управления по всем направлениям деятельности органов местного самоуправления.   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Результаты оценки эффективности позволят обозначить проблемы и слабые стороны в деятельности органов самоуправления и, направив усилия на их решение, повысить результативность управления, принять меры по дальнейшему усовершенствованию муниципального управления.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На сегодняшний день развитие Чамзинского муниципального района определено реализацией следующих муниципальных  программ: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-Экономическое развитие Чамзинского муниципального района до 2025г.  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-Повышение эффективности управления муниципальными финансами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на 2015-2022годы.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-Энергосбережение и повышение энергетической эффективности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муниципальном районе Республики Мордовия на   2016 – 2021 годы;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-Модернизация и реформирование жилищно-коммунального хозяйства  на 2016-2021 годы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-Охрана окружающей среды и повышение экологической безопасности на 2018 - 2021 годы;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-Обеспечение доступным и комфортным жильем и коммунальными услугами граждан Российской Федерации;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-Развитие автомобильных дорог на 2015-2021 годы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Республики Мордовия;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-Укрепление общественного порядка и обеспечение общественной безопасности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  районе    на 2016-2021 годы;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-Духовно-нравственное воспитание детей, молодежи и населения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2016-2021 годы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-Гармонизация межнациональных и межконфессиональных отношений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на 2014 – 2025годы;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-Развитие физической культуры и массового спорта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 районе на 2016-2021 годы;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-Молодёжь Чамзинского муниципального района на 2016-2021 годы;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-Формирование информационного общества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2014-2022  годы;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Развитие и  поддержка малого и среднего предпринимательства  Чамзинского муниципального района на 2016-2021 годы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Развитие сельского хозяйства и регулирования рынков сельскохозяйственной продукции, сырья  и продовольствия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на 2015-2025годы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-Развитие образования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 на 2016-2025 годы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-Развитие муниципальной службы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(2015-2022 годы)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-Оформление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на 2015-2021 годы.</w:t>
      </w:r>
    </w:p>
    <w:p w:rsidR="005653E6" w:rsidRPr="005653E6" w:rsidRDefault="005653E6" w:rsidP="005653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-Развитие культуры и туризма в 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на 2014 -2021 годы</w:t>
      </w:r>
    </w:p>
    <w:p w:rsidR="005653E6" w:rsidRPr="005653E6" w:rsidRDefault="005653E6" w:rsidP="005653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>-Доступная среда»  2014-2030 годы</w:t>
      </w:r>
    </w:p>
    <w:p w:rsidR="005653E6" w:rsidRPr="005653E6" w:rsidRDefault="005653E6" w:rsidP="005653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>-Патриотическое воспитание граждан, проживающих на территории Чамзинского муниципального района» на 2017 – 2021 годы</w:t>
      </w:r>
    </w:p>
    <w:p w:rsidR="005653E6" w:rsidRPr="005653E6" w:rsidRDefault="005653E6" w:rsidP="005653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-Повышение безопасности  дорожного движения в 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Чамзинском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муниципальном районе на 2016-2021 годы</w:t>
      </w:r>
    </w:p>
    <w:p w:rsidR="005653E6" w:rsidRPr="005653E6" w:rsidRDefault="005653E6" w:rsidP="005653E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>-Социальная поддержка граждан  на 2017-2020 годы</w:t>
      </w:r>
    </w:p>
    <w:p w:rsidR="005653E6" w:rsidRPr="005653E6" w:rsidRDefault="005653E6" w:rsidP="005653E6">
      <w:pPr>
        <w:widowControl w:val="0"/>
        <w:suppressAutoHyphens/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653E6">
        <w:rPr>
          <w:rFonts w:ascii="Times New Roman" w:eastAsia="Lucida Sans Unicode" w:hAnsi="Times New Roman" w:cs="Times New Roman"/>
          <w:kern w:val="2"/>
          <w:sz w:val="28"/>
          <w:szCs w:val="28"/>
          <w:lang w:eastAsia="ru-RU"/>
        </w:rPr>
        <w:t>В 2018 году в  рамках реализации подпр</w:t>
      </w:r>
      <w:r w:rsidRPr="005653E6">
        <w:rPr>
          <w:rFonts w:ascii="Times New Roman" w:eastAsia="Lucida Sans Unicode" w:hAnsi="Times New Roman" w:cs="Times New Roman"/>
          <w:bCs/>
          <w:kern w:val="2"/>
          <w:sz w:val="28"/>
          <w:szCs w:val="28"/>
          <w:lang w:eastAsia="ru-RU"/>
        </w:rPr>
        <w:t xml:space="preserve">ограммы </w:t>
      </w:r>
      <w:r w:rsidRPr="005653E6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Lucida Sans Unicode" w:hAnsi="Times New Roman" w:cs="Times New Roman"/>
          <w:bCs/>
          <w:kern w:val="2"/>
          <w:sz w:val="28"/>
          <w:szCs w:val="28"/>
          <w:lang w:eastAsia="ru-RU"/>
        </w:rPr>
        <w:t xml:space="preserve">«Устойчивое развитие сельских территорий до 2017 года и на период до 2020 года» в </w:t>
      </w:r>
      <w:r w:rsidRPr="005653E6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Алексеевском сельском поселении введено в действие  локальных водопроводов 1,363 км. Профинансировано из бюджетов всех уровней 1млн. рублей.</w:t>
      </w:r>
    </w:p>
    <w:p w:rsidR="005653E6" w:rsidRPr="005653E6" w:rsidRDefault="005653E6" w:rsidP="005653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Чамзинский район в настоящее время и в перспективе рассматривается как инвестиционно-активная территория. В районе реализуются реальные инвестиционные проекты, от которых есть отдача, которые обеспечивают новые рабочие места.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2019 году в аграрном секторе и переработке  будет продолжено  строительство площадки откорма цыплят-бройлеров в с.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Сабур-Мачкасы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,  ООО «Юбилейное». Реализации проекта позволит создать  новых 47 рабочих мест.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Перед крупными предприятиями района стоят задачи  по модернизации и техническому оснащению действующих производств.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0" w:name="sub_201"/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 Экономическое развитие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Малое предпринимательство является неотъемлемым субъектом рынка, влияющим на дальнейшее социально-экономическое развитие района, решающим проблемы занятости населения, повышения уровня жизни.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  итогам 2018 года доля среднесписочной численности работников малых и средних предприятий в среднесписочной численности работников всех предприятий и организаций в районе составила 24.9%.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1 января 2019 года число субъектов малого и среднего предпринимательства составила 644 единицы, в том числе  индивидуальных предпринимателей  499.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Структурный  состав малых и средних предприятий складывается в следующем процентном отношении.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Большая часть занятых на малых и средних предприятиях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приходится на оптовую и розничную  торговлю -53,6%, сельское хозяйство -12,3%, строительство- 7,6%, транспорте-7,4%, обрабатывающие производства -8,7%, операции с недвижимым имуществом, аренда и предоставление услуг – 8,2%.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Число субъектов малого и среднего предпринимательства в расчете на 10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еловек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населения на 01января 2019 года составило 215 единиц.                                     </w:t>
      </w: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Снижение показателя произошло   за счет уменьшения </w:t>
      </w:r>
      <w:proofErr w:type="spell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микропредприятий</w:t>
      </w:r>
      <w:proofErr w:type="spell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на 7 единиц, малых предприятий </w:t>
      </w:r>
      <w:proofErr w:type="gram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–н</w:t>
      </w:r>
      <w:proofErr w:type="gram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а 5 единиц и индивидуальных предпринимателей – на 6 единиц.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    Планируется увеличение числа субъектов малого и среднего предпринимательства и составит в 2019 году – 645 единицы, в 2020 году – 647 единиц, а в 2021 году- 648 единиц. 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    Увеличение числа субъектов малого и среднего предпринимательства приведет к увеличению показателя « Число субъектов малого и среднего предпринимательства в расчете на 10 </w:t>
      </w:r>
      <w:proofErr w:type="spell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тыс</w:t>
      </w:r>
      <w:proofErr w:type="gram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еловек</w:t>
      </w:r>
      <w:proofErr w:type="spell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населения» и составит в 2019 году -216 единиц, в 2020 году – 217 единиц, а в 2021 году – 218 единиц.</w:t>
      </w:r>
    </w:p>
    <w:p w:rsidR="005653E6" w:rsidRPr="005653E6" w:rsidRDefault="005653E6" w:rsidP="005653E6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>Основным направлением развития предпринимательства на период 2019-2021 годов планируется  в сфере  бытовых услуг.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Реализация государственной политики по поддержке и развитию предпринимательства  в районе осуществлялась с помощью муниципальной программы «Развитие малого и среднего предпринимательства Чамзинского муниципального района на 2016-2021 годы». Основная цель программы направлена на создание условий для развития малого и среднего предпринимательства.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</w:t>
      </w: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ab/>
        <w:t>Реализация программы способствовала улучшению инвестиционного климата, развитию инфраструктуры района, повышению конкурентоспособности субъектов малого предпринимательства и улучшению качества предоставляемых услуг.</w:t>
      </w:r>
    </w:p>
    <w:p w:rsidR="005653E6" w:rsidRPr="005653E6" w:rsidRDefault="005653E6" w:rsidP="005653E6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За 2018 год через </w:t>
      </w:r>
      <w:proofErr w:type="spell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Микрокредитную</w:t>
      </w:r>
      <w:proofErr w:type="spell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компанию «Фонд поддержки предпринимательства Республики Мордовия» и Автономное учреждение </w:t>
      </w:r>
      <w:proofErr w:type="spell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Микрокредитная</w:t>
      </w:r>
      <w:proofErr w:type="spell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компания «Центр микрофинансирования РМ» 5 субъектов малого и среднего предпринимательства получили </w:t>
      </w:r>
      <w:proofErr w:type="spell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микрозаймы</w:t>
      </w:r>
      <w:proofErr w:type="spell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на общую сумму 4,7 млн. руб. </w:t>
      </w:r>
    </w:p>
    <w:p w:rsidR="005653E6" w:rsidRPr="005653E6" w:rsidRDefault="005653E6" w:rsidP="005653E6">
      <w:pPr>
        <w:suppressAutoHyphens/>
        <w:spacing w:after="0" w:line="100" w:lineRule="atLeast"/>
        <w:ind w:firstLine="708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>В целях повышения уровня информированности субъектов малого и среднего предпринимательства о порядке оказания муниципальных услуг в районе проводится периодическое размещение информации на информационных стендах в районном многофункциональном центре, а также на официальном сайте администрации Чамзинского муниципального района в разделе «Малое и среднее предпринимательство</w:t>
      </w:r>
      <w:proofErr w:type="gramStart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,</w:t>
      </w:r>
      <w:proofErr w:type="gramEnd"/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где размещается необходимая информация.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В районе создан и работает Совет предпринимателей, который является консультативным органом.</w:t>
      </w:r>
    </w:p>
    <w:p w:rsidR="005653E6" w:rsidRPr="005653E6" w:rsidRDefault="005653E6" w:rsidP="005653E6">
      <w:pPr>
        <w:suppressAutoHyphens/>
        <w:spacing w:after="0" w:line="100" w:lineRule="atLeast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 xml:space="preserve">    </w:t>
      </w:r>
      <w:r w:rsidRPr="005653E6">
        <w:rPr>
          <w:rFonts w:ascii="Times New Roman" w:eastAsia="SimSun" w:hAnsi="Times New Roman" w:cs="Times New Roman"/>
          <w:kern w:val="2"/>
          <w:sz w:val="28"/>
          <w:szCs w:val="28"/>
          <w:lang w:eastAsia="ar-SA"/>
        </w:rPr>
        <w:tab/>
        <w:t xml:space="preserve">Активную предпринимательскую деятельность в сфере торговли сдерживает наметившаяся тенденция развития крупных сетевых предприятий  в районе.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 xml:space="preserve">          </w:t>
      </w:r>
      <w:r w:rsidRPr="005653E6">
        <w:rPr>
          <w:rFonts w:ascii="Times New Roman" w:eastAsia="SimSun" w:hAnsi="Times New Roman" w:cs="Times New Roman"/>
          <w:kern w:val="1"/>
          <w:sz w:val="28"/>
          <w:szCs w:val="28"/>
          <w:lang w:eastAsia="ar-SA"/>
        </w:rPr>
        <w:tab/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2018 года объем инвестиций в основной капитал (за исключением бюджетных средств) в расчете на 1 человека составил 68675 руб. Несмотря на  снижение  показателя по сравнению с 2017 г., которое  обусловлено уменьшением  объема инвестиций, темп роста 2018 г. к 2017 г. составил 77,2%, Чамзинский район занимает 3 место  в рейтинге Республики Мордовия по  объему инвестиций в основной капитал (за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исключением бюджетных средств) в расчете на 1 человека. За 2016г. этот показатель составил  109391,3 руб., в 2017 году- 88991,1 руб., в 2018г.-68675 руб. На плановый период 2019-2021 годов прогноз инвестиций в основной капитал (за исключением бюджетных средств) в расчете на 1 человека составит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соответственно: 2019г.- 21751,3 рублей, на последующие годы планируется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2020г. – 23076 руб., в 2021г.- 24391,4  рублей. Снижение объема инвестиций связано с отсутствием  крупных перспективных проектов.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2018г.  выросла доля площади  земельных участков, являющихся объектами налогообложения земельным налогов.  Увеличение значения данного показателя связано с уменьшением  доли  земельных участков находящихся в аренде юридических и  физических лиц, расторжением ранее заключенных договоров аренды с целью выкупа земельных участков под объектами капитального строительства  в собственность.</w:t>
      </w:r>
    </w:p>
    <w:p w:rsidR="005653E6" w:rsidRPr="005653E6" w:rsidRDefault="005653E6" w:rsidP="005653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Если в 2016 году доля площади таких участков составила    85,1% , в  2017 году – 86,6%, то в 2018 году доля площади земельных участков, являющихся объектами налогообложения земельным налогом, в общей площади территории Чамзинского муниципального района составила    86,78% ,  остальная доля 13,22%  приходится на земельные участки, предоставленные в аренду. На период 2019-2021годов  планируется увеличение их доли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2019г. – до 87%, в 2020 г.- до  88%. , в 2021г. –  до 89%.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Доля прибыльных сельскохозяйственных организаций в общем их числе за 2018год составила 87,5%. В числе убыточных предприятий ООО «Садовод», за 2018год финансовый результат от реализации продукции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работ и услуг в отрасли животноводства по ООО «Садовод» составил(-)1853тыс.рублей. Уровень рентабельности составил (-) 10%. На период 2019-2021 годы  доля прибыльных сельскохозяйственных организаций, в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общем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их числе планируется в размере 100%.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0"/>
          <w:szCs w:val="20"/>
          <w:lang w:eastAsia="ar-SA"/>
        </w:rPr>
      </w:pPr>
      <w:proofErr w:type="gramStart"/>
      <w:r w:rsidRPr="005653E6">
        <w:rPr>
          <w:rFonts w:ascii="Times New Roman" w:eastAsia="SimSun" w:hAnsi="Times New Roman" w:cs="Times New Roman"/>
          <w:bCs/>
          <w:kern w:val="16"/>
          <w:sz w:val="28"/>
          <w:szCs w:val="28"/>
        </w:rPr>
        <w:t>Доля протяжённости автомобильных дорог общего пользования местного значения, не отвечающих нормативным требованиям, в общей протяжённости автомобильных  дорог общего пользования местного значения в 2018 году составила 74,9%, по сравнению с 2017 годом увеличилась на 3,4 пункта: в 2017 году составила 71,5 %, в 2016 году- 72,0 % .</w:t>
      </w:r>
      <w:r w:rsidRPr="005653E6">
        <w:rPr>
          <w:rFonts w:ascii="Times New Roman" w:eastAsia="SimSun" w:hAnsi="Times New Roman" w:cs="Times New Roman"/>
          <w:kern w:val="16"/>
          <w:sz w:val="28"/>
          <w:szCs w:val="28"/>
        </w:rPr>
        <w:t xml:space="preserve"> </w:t>
      </w:r>
      <w:r w:rsidRPr="005653E6">
        <w:rPr>
          <w:rFonts w:ascii="Times New Roman" w:eastAsia="SimSun" w:hAnsi="Times New Roman" w:cs="Times New Roman"/>
          <w:noProof/>
          <w:webHidden/>
          <w:kern w:val="16"/>
        </w:rPr>
        <w:tab/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Увеличение доли дорог, не отвечающих нормативным требованиям обусловлено отсутствием финансовых средств для приведения дорог в нормативное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состояние</w:t>
      </w:r>
      <w:r w:rsidRPr="005653E6">
        <w:rPr>
          <w:rFonts w:ascii="Times New Roman" w:eastAsia="SimSun" w:hAnsi="Times New Roman" w:cs="Times New Roman"/>
          <w:bCs/>
          <w:kern w:val="16"/>
          <w:sz w:val="28"/>
          <w:szCs w:val="28"/>
        </w:rPr>
        <w:t>.  На плановый период 2019-2021 годов  планируется постепенное снижение доли дорог, не отвечающих нормативным требованиям: в 2019 году до 74,5%, в  2020 году до</w:t>
      </w:r>
      <w:r w:rsidRPr="005653E6">
        <w:rPr>
          <w:rFonts w:ascii="Times New Roman" w:eastAsia="SimSun" w:hAnsi="Times New Roman" w:cs="Times New Roman"/>
          <w:kern w:val="16"/>
          <w:sz w:val="28"/>
          <w:szCs w:val="28"/>
        </w:rPr>
        <w:t xml:space="preserve"> 74%, в 2021 году </w:t>
      </w:r>
      <w:proofErr w:type="gramStart"/>
      <w:r w:rsidRPr="005653E6">
        <w:rPr>
          <w:rFonts w:ascii="Times New Roman" w:eastAsia="SimSun" w:hAnsi="Times New Roman" w:cs="Times New Roman"/>
          <w:kern w:val="16"/>
          <w:sz w:val="28"/>
          <w:szCs w:val="28"/>
        </w:rPr>
        <w:t>–д</w:t>
      </w:r>
      <w:proofErr w:type="gramEnd"/>
      <w:r w:rsidRPr="005653E6">
        <w:rPr>
          <w:rFonts w:ascii="Times New Roman" w:eastAsia="SimSun" w:hAnsi="Times New Roman" w:cs="Times New Roman"/>
          <w:kern w:val="16"/>
          <w:sz w:val="28"/>
          <w:szCs w:val="28"/>
        </w:rPr>
        <w:t>о 73,5%.</w:t>
      </w:r>
      <w:r w:rsidRPr="005653E6">
        <w:rPr>
          <w:rFonts w:ascii="Calibri" w:eastAsia="SimSun" w:hAnsi="Calibri" w:cs="Calibri"/>
          <w:kern w:val="16"/>
          <w:sz w:val="28"/>
          <w:szCs w:val="28"/>
        </w:rPr>
        <w:t xml:space="preserve"> </w:t>
      </w: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</w:p>
    <w:p w:rsidR="005653E6" w:rsidRPr="005653E6" w:rsidRDefault="005653E6" w:rsidP="005653E6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ab/>
        <w:t xml:space="preserve">Регулярное круглогодичное транспортное сообщение с районным    центром осуществляют 3 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индивидуальных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предпринимателя.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ab/>
      </w:r>
      <w:proofErr w:type="gramStart"/>
      <w:r w:rsidRPr="005653E6">
        <w:rPr>
          <w:rFonts w:ascii="Times New Roman" w:eastAsia="Times New Roman" w:hAnsi="Times New Roman" w:cs="Times New Roman"/>
          <w:noProof/>
          <w:webHidden/>
          <w:kern w:val="16"/>
          <w:sz w:val="28"/>
          <w:szCs w:val="28"/>
          <w:lang w:eastAsia="ar-SA"/>
        </w:rPr>
        <w:t>Снижается д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населения, проживающего в населенных пунктах, не имеющих регулярного автобусного и (или) железнодорожного сообщения с административным центром, в общей численности населения Чамзинского муниципального района в 2016 году составляла  0,28%, в 2017 и 2018 годах -0,25%.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Положительная динамика показателя  обусловлена наибольшим охватом населённых пунктов регулярными пассажирскими перевозками и уменьшением численности населения в малых населенных  пунктах.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На плановый период 2019-2021 </w:t>
      </w:r>
      <w:r w:rsidRPr="005653E6"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годов доля населения, не охваченного регулярным транспортным сообщением, сократится до 0,17 %.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Повышение качества жизни населения - основная цель муниципальной деятельности.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Среднемесячная номинальная начисленная заработная плата работников крупных и средних предприятий и некоммерческих организаций Чамзинского муниципального района составила    в  2016 году – 26485,4 рублей с темпом роста 106,7%,  в 2017 году- 27769,7 руб. с темпом роста 104,1%, в 2018 году- 29368,7 руб. с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ростом 105,8%. На плановый период  2019-2021 годов намечен ежегодный рост среднемесячной зарплаты, в 2019 году планируется довести до 32470,1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рублей, в 2020 году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–д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 35100,1 рублей, в 2021 году –до 38575,1 рублей.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 соответствии с Указами Президента РФ в районе идёт поэтапное повышение заработной платы педагогических работников системы образования.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З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аработная плата работников  муниципальных дошкольных образовательных учреждений составила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 2016 году – 13244,8 рублей с темпом роста  101%, в 2017 году -14105,5 рублей с темпом роста  106,5%, в 2018 году -16314,9 рублей с темпом роста  115,7%.  На плановый период  2019-2021 годов намечен рост среднемесячной зарплаты, в 2021 году планируется довести до 18476,1 рублей, с темпом роста 113,2% к уровню  2018 года.</w:t>
      </w:r>
      <w:proofErr w:type="gramEnd"/>
    </w:p>
    <w:p w:rsidR="005653E6" w:rsidRPr="005653E6" w:rsidRDefault="005653E6" w:rsidP="005653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Среднемесячная номинальная начисленная заработная плата работников муниципальных общеобразовательных учреждений составила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 2016 году – 19010,3 рублей с темпом роста  101% к предыдущему году, в 2017 году -19645,6 рублей с темпом роста  103,3%, в 2018 году -20543,2 рублей с темпом роста  104,6%, в 2017 году.  На плановый период  2019-2021 годов намечен рост среднемесячной зарплаты, к 2021 году планируется довести до 23441,7 рублей, с темпом роста 114,1% к уровню 2018 года.</w:t>
      </w:r>
    </w:p>
    <w:p w:rsidR="005653E6" w:rsidRPr="005653E6" w:rsidRDefault="005653E6" w:rsidP="005653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Среднемесячная номинальная начисленная заработная плата учителей в муниципальных общеобразовательных учреждениях составила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2016 году – 23211,7 рублей с темпом роста  101,4% к предыдущему году, в 2017 году -23525,4 рублей с темпом роста  101,4%, в 2018 году -23641,1 рублей с темпом роста  100,5% к 2017 году. На плановый период  2019-2021 годов намечен рост среднемесячной зарплаты, в 2021 году планируется довести до 27866,5 рублей, с темпом роста 117,9% к уровню 2018 года.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Среднемесячная номинальная начисленная заработная плата  работников муниципальных учреждений культуры и искусства   в 2016 году составила 14220,0 рублей  с темпом роста к предыдущему году 100,1%, в 2017 году -19646,5 рублей с темпом роста 138,2%, в 2018 году-23739,7 рублей с темпом роста 120,8%. На период 2019-2021 годов  планируется дальнейший рост зарплаты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2020 году до 26264,3 рублей, в 2021 году до 27866,5 рублей с темпом роста 117,4% к уровню 2018 года. </w:t>
      </w:r>
    </w:p>
    <w:p w:rsidR="005653E6" w:rsidRPr="005653E6" w:rsidRDefault="005653E6" w:rsidP="00565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Расчёты средней заработной платы на 2018-2020 годы произведены с учётом лимитов на реализацию Госстандарта общего образования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районе, и с учётом сложившейся наполняемости классов и численности обучающихся, приходящихся на 1 педагогического работника в соответствующие годы.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5653E6" w:rsidRPr="005653E6" w:rsidRDefault="005653E6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Дошкольное образование  </w:t>
      </w:r>
    </w:p>
    <w:p w:rsidR="005653E6" w:rsidRPr="005653E6" w:rsidRDefault="005653E6" w:rsidP="005653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53E6" w:rsidRPr="005653E6" w:rsidRDefault="006C6EC7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4E190BD4" wp14:editId="31E7923E">
            <wp:simplePos x="0" y="0"/>
            <wp:positionH relativeFrom="column">
              <wp:posOffset>4010025</wp:posOffset>
            </wp:positionH>
            <wp:positionV relativeFrom="paragraph">
              <wp:posOffset>27305</wp:posOffset>
            </wp:positionV>
            <wp:extent cx="2884170" cy="1638300"/>
            <wp:effectExtent l="0" t="0" r="0" b="0"/>
            <wp:wrapSquare wrapText="bothSides"/>
            <wp:docPr id="4103" name="Picture 6" descr="IMG_0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3" name="Picture 6" descr="IMG_05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на январь 2018 года функционировало 12  дошкольных образовательных организаций. Постановлением администрации Чамзинского муниципального района от 15.11.2018года №749 «О реорганизации муниципальных бюджетных дошкольных образовательных учреждений в форме сливания» 7 детских садов реорганизовано 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форме слияния и создания путём реорганизации МБДОУ «Детский сад «Планета детства» комбинированного вида».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1327 детей от 1 года  до 7 лет посещали муниципальные бюджетные дошкольные образовательные организации. Общее количество групп в дошкольных организациях – 61, в сельской местности – 5, в городской местности – 56. Средняя наполняемость групп по району составила 21,8 человек, в сельской местности – 15,6, в городской местности – 22,3.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Следует отметить положительную динамику роста  доли детей в возрасте от 1-6 лет, получающих дошкольную образовательную услугу: в 2016 году составила 65,7%; в 2017 году – 66,1%; в  2018 году - 67, 3%. На период 2019-2021 годов планируется рост показателя в 2019 году до 67,4%, в 2020 году до 67,5%, в 2021 году до 67,6%.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районе функционирует автоматизированная информационная система «Е-услуги. Образование», которая 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предоставляет возможность в электронном виде оказывать населению муниципальные услуги в сфере образования - приём заявлений в детские сады, постановка в очередь и их зачисление.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2018 году регистрацию в дошкольные организации  прошло 330 человек.  Актуальной очерёдности – нет.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Модернизация системы дошкольного образования требует совершенствования имеющихся навыков у руководителей, специалистов и воспитателей, которые необходимы для повышения качества дошкольного образования, развития инновационных форм работы с детьми, для обеспечения равных стартовых возможностей каждому ребенку.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детских садах района работают 149 педагогов. На 1 педагогического работника приходится 8,4 воспитанника.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течение года педагоги дошкольных учреждений принимали активное участие в конкурсах различного уровня. Воспитатель МБДОУ «Центр развития ребёнка – детский сад  «Сказка»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Астайкина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Л. В. заняла 1-е место во Всероссийском конкурсе  им. Льва Семеновича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Выгодского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получила Грант в размере 50 тысяч рублей. В июне месяце она приняла участие в Летней школе победителей конкурса им.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Л.С.Выгодского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г. Москва.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Воспитатель МБДОУ «Центр развития ребёнка  - детский сад «Сказка»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Минибаева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Л. И. заняла 2-ое место в Российском конкурсе «Гордость России».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Воспитатели муниципальных дошкольных образовательных организаций приняли активное участие во Всероссийском конкурсе «Воспитатели России»: воспитатель МБДОУ «Детский сад комбинированного вида «Солнышко»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Афонькина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В.Н. стала Лауреатом в номинации «Лучший воспитатель образовательной организации «Верность профессии»; воспитатель МБДОУ «Детский сад комбинированного вида «Звёздочка»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Милёшина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Т.С. стала финалистом в номинации «Молодой воспитатель».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Воспитатель МБДОУ «Детского сада комбинированного вида «Ягодка» Кузнецова Н. Н. победила в Республиканском конкурсе учебно-методических разработок педагогов дошкольных образовательных организаций.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Воспитатель МБДОУ «Детского сада комбинированного вида  «Красная шапочка» Краснова Т. В. стала Лауреатом Республиканского конкурса «Воспитатель года Республики Мордовия 2018 года».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На базе дошкольных организаций функционируют кружки различной направленности, и благодаря проводимой работе воспитанники детских садов  принимали активное участие в муниципальных и республиканских конкурсах, занимая призовые места.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53E6">
        <w:rPr>
          <w:rFonts w:ascii="Times New Roman" w:eastAsia="Times New Roman" w:hAnsi="Times New Roman" w:cs="Times New Roman"/>
          <w:sz w:val="28"/>
          <w:szCs w:val="28"/>
        </w:rPr>
        <w:lastRenderedPageBreak/>
        <w:t>МБДОУ «Детский сад комбинированного вида «Солнышко» стал победителем Всероссийского смотра-конкурса «Образцовый детский сад» за оригинальность оформления электронного стенда образовательной организации».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дошкольных образовательных учреждений, здания которых находятся в аварийном состоянии, равна нулю.    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дошкольных образовательных учреждений здания, которых требуют капитального ремонта в 2016, 2017, 2018 годах составляет 16,7%. Планируется сохранить на уровне 16,7% на период 2019-2021 годов.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Вся деятельность педагогических коллективов детских садов была направлена на  совершенствование содержания   действующих образовательных программ и изменения структуры образовательных программ с учетом требований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ФГОСа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дошкольного образования.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53E6" w:rsidRPr="005653E6" w:rsidRDefault="005653E6" w:rsidP="005653E6">
      <w:pPr>
        <w:tabs>
          <w:tab w:val="left" w:pos="6379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4. Общее образование</w:t>
      </w:r>
    </w:p>
    <w:p w:rsidR="005653E6" w:rsidRPr="005653E6" w:rsidRDefault="005653E6" w:rsidP="005653E6">
      <w:pPr>
        <w:tabs>
          <w:tab w:val="left" w:pos="6379"/>
        </w:tabs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653E6" w:rsidRPr="005653E6" w:rsidRDefault="006D52BD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72E83AB7" wp14:editId="522172B2">
            <wp:simplePos x="0" y="0"/>
            <wp:positionH relativeFrom="column">
              <wp:posOffset>4248150</wp:posOffset>
            </wp:positionH>
            <wp:positionV relativeFrom="paragraph">
              <wp:posOffset>76200</wp:posOffset>
            </wp:positionV>
            <wp:extent cx="2625090" cy="1962150"/>
            <wp:effectExtent l="0" t="0" r="3810" b="0"/>
            <wp:wrapSquare wrapText="bothSides"/>
            <wp:docPr id="61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Рисунок 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09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49DA0577" wp14:editId="4C1073DB">
            <wp:simplePos x="0" y="0"/>
            <wp:positionH relativeFrom="column">
              <wp:posOffset>2112010</wp:posOffset>
            </wp:positionH>
            <wp:positionV relativeFrom="paragraph">
              <wp:posOffset>1567815</wp:posOffset>
            </wp:positionV>
            <wp:extent cx="2705100" cy="1797685"/>
            <wp:effectExtent l="0" t="0" r="0" b="0"/>
            <wp:wrapSquare wrapText="bothSides"/>
            <wp:docPr id="51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Рисунок 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79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районе функционирует 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10 школ (8 средних, 2 основных).   С целью оптимизации сети учреждений образования ликвидирована МБОУ «</w:t>
      </w:r>
      <w:proofErr w:type="spell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Большеремезёнская</w:t>
      </w:r>
      <w:proofErr w:type="spell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НОШ», проведена реорганизация МБОУ «</w:t>
      </w:r>
      <w:proofErr w:type="spell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Апраксинская</w:t>
      </w:r>
      <w:proofErr w:type="spell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СОШ» в форме присоединения к нему МБОУ «</w:t>
      </w:r>
      <w:proofErr w:type="spell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Наченальская</w:t>
      </w:r>
      <w:proofErr w:type="spell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ООШ» и МБОУ «Мичуринская ООШ».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начало  2018 – 2019 учебного года в образовательных организациях обучалось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2720. В сравнении с январем увеличился общий  контингент учащихся на 11 человек, общая наполняемость </w:t>
      </w:r>
      <w:proofErr w:type="gram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класс-комплектов</w:t>
      </w:r>
      <w:proofErr w:type="gram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району составила 17,1 человек (по городу - 22,3, по селу – 5,9).</w:t>
      </w:r>
      <w:r w:rsidRPr="006D52BD">
        <w:rPr>
          <w:noProof/>
          <w:lang w:eastAsia="ru-RU"/>
        </w:rPr>
        <w:t xml:space="preserve"> 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 обучающиеся занимаются в первую смену.</w:t>
      </w:r>
      <w:r w:rsidR="00BD64B9" w:rsidRPr="00BD64B9">
        <w:rPr>
          <w:noProof/>
          <w:lang w:eastAsia="ru-RU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1 сентября 2018 года все школы  района начали работать в режиме 5-ти дневной учебной недели.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Одним из условий предоставления детям возможности получения качественного образования является организация подвоза детей в базовые школы. 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 7 школах района организован подвоз учащихся из близлежащих населённых пунктов по 11 маршрутам  с общим охватом учащихся 129 человек.</w:t>
      </w:r>
      <w:r w:rsidRPr="005653E6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Обновляется  парк школьных автобусов</w:t>
      </w:r>
      <w:r w:rsidRPr="005653E6">
        <w:rPr>
          <w:rFonts w:ascii="Times New Roman" w:eastAsia="Times New Roman" w:hAnsi="Times New Roman" w:cs="Times New Roman"/>
          <w:color w:val="FF0000"/>
          <w:sz w:val="28"/>
          <w:szCs w:val="28"/>
          <w:lang w:eastAsia="ar-SA"/>
        </w:rPr>
        <w:t xml:space="preserve">.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был получен  новый автобус для подвоза учащихся по маршруту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Апраксино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-Знаменское-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Апраксино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 xml:space="preserve"> (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Апраксино-Мичурино-Апраксино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).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детей первой и второй групп здоровья в общей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численности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обучающихся в муниципальных общеобразовательных учреждениях  в 2018 году составила 80,8%, 2017 году составила 84,1%, в 2016  году -  84,9%. Снижение доли детей первой и второй групп здоровья в общей численности обучающихся в муниципальных образовательных учреждениях с 84,9% до 80,8% в 2018 году объясняется увеличением доли детей третьей группы здоровья, что связано с неблагоприятной экологической обстановкой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районе.   Постоянная работа, направленная на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оздоровление детей  в детском дневном стационаре ГБУЗ РМ «Комсомольская ЦРБ» и   санаториях местного значения, позволит приостановить снижение данного показателя и довести  его до 81,2%  к 2021 году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было  127 выпускников 11-х классов.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 результатам прохождения ГИА-11  двое учащихся района не сдали экзамены и были выпущены со справкой.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19 выпускников 11 класса Чамзинского района награждены медалью «За особые успехи в учении».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 году 83 учащихся приняли участие в республиканском этапе Всероссийской предметной олимпиады и заняли 25 призовых мест.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летний период на базе школ  было организовано 7 видов лагерей с общим охватом 712 детей. Из муниципального бюджета на оздоровление детей в летний период  было выделено более миллиона  рублей.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Кадровый педагогический состав района  на протяжении нескольких лет остаётся  стабильным. В   общеобразовательных учреждениях района  работает 292 педагогических и руководящих работников, из которых  64 (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24%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 имеют высшую квалификационную категорию,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112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42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%) - первую.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педагогический состав  общеобразовательных учреждений района пополнился 6 молодыми  специалистами.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педагоги Чамзинского района достойно зарекомендовали себя, участвуя в педагогических конкурсах разного уровня: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Премия Президента Российской Федерации присуждена Архиповой М.А. учителю начальных классов МБОУ «Комсомольская СОШ№1».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Грант Главы Республики Мордовия вручен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Пресняковой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И.Н. учителю русского языка и литературы МБОУ «Чамзинская СОШ№2» и  Котиковой И.Н. учителю начальных классов МБОУ «Лицей№1»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Достойно выступила на республиканском конкурсе «Учитель года Республики Мордовия - 2018» учитель математики МБОУ «Лицей№1»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р.п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Чамзинка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Киржаева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Т.И.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Учитель эрзянского языка МБОУ «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Комсомольская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сош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№2»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Вельдяскина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Т. П.  лучший учитель эрзянского языка  Республики Мордовии.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республиканском конкурсе «Лучший кабинет эрзянского языка - 2018» победителем стал кабинет МБОУ «Б-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Маресевская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СОШ»   (руководитель кабинета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Миркискина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Л.Д.)</w:t>
      </w:r>
    </w:p>
    <w:p w:rsidR="005653E6" w:rsidRPr="005653E6" w:rsidRDefault="005653E6" w:rsidP="005653E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Качество образования намного зависит от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состояния материально-технической  базы</w:t>
      </w: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учреждений образования.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Доля муниципальных общеобразовательных учреждений, здания которых находятся в аварийном состоянии, равна  нулю.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муниципальных общеобразовательных учреждений, здания которых требуют капитального ремонта в 2016 году – 7,6%, в 2017г - 8,3%, в 2018г -10%. Значение показателя сохранится на период 2019-2021 годов.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2018 год  выделено  на укрепление материально- технической базы 1505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653E6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рублей, в том числе: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на противопожарную безопасность  было выделено более 800,0 тысяч  рублей. На все школьные автобусы установлены проблесковые маячки.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Высока доля муниципальных общеобразовательных учреждений, соответствующих современным требованиям обучения:   в 2016-2018г.г. - 84,6%, планируется увеличение показателя в 2019 году до 91,7%, в 2020 году – до 91,8%, к 2021 году  довести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до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91,9%.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Расходы бюджета Чамзинского муниципального района на общее образование в 2016 году составили в размере 197485,5 тыс. рублей, среднегодовое количество обучающихся – 2624 чел. Расходы на 1 обучающегося в муниципальных общеобразовательных школах составили              75,3 тыс.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2017 году составили 152128,9 тыс. рублей, среднегодовое количество обучающихся – 2678 чел. Расходы на 1 обучающегося в муниципальных общеобразовательных школах составили  56,8 тыс.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2018 году составили 159682,3 тыс. рублей, среднегодовое количество обучающихся – 2713 чел. Расходы на 1 обучающегося в муниципальных общеобразовательных школах составили  58,9 тыс.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период 2019-2021 годов расходы запланированы в соответствии с методикой формирования расходной части бюджета.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2019 году запланированы в размере 141036,3 тыс. рублей, среднегодовое количество обучающихся – 2747 чел. Расходы на 1 обучающегося в муниципальных общеобразовательных школах составили 51,3 тыс.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Расходы бюджета Чамзинского муниципального района на общее образование в 2020 году запланированы в размере 148450,4 тыс. рублей, среднегодовое количество обучающихся – 2821 чел. Расходы на 1 обучающегося в муниципальных общеобразовательных школах составили 52,6 тыс.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Расходы бюджета Чамзинского муниципального района на общее образование в 2021 году запланированы в размере 149413,1 тыс. рублей, среднегодовое количество обучающихся – 2874 чел. Расходы на 1 обучающегося в муниципальных общеобразовательных школах составили 52 тыс. рублей. Расходы запланированы в соответствии с методикой формирования расходной части бюджета.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5. Дополнительное образование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большое значение было уделено дополнительному образованию школьников, работе кружков и секций, обеспечение к ним равного доступа детей независимо от социального статуса и материального положения.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 дополнительного образования в районе представлена  3 учреждениями с общим охватом 2408 ребёнка.  Кроме того,  разнообразные кружки по интересам  и  спортивные секции действуют в общеобразовательных и  дошкольных учреждениях образования. </w:t>
      </w:r>
    </w:p>
    <w:p w:rsidR="005653E6" w:rsidRPr="005653E6" w:rsidRDefault="005653E6" w:rsidP="005653E6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детей в возрасте 5 - 18 лет, получающих услуги по дополнительному образованию в  организациях различной организационно-правовой формы и формы собственности, в общей численности детей данной возрастной группы    в 2016, 2017, 2018 годах составила – 91,7% , и  будет сохранена в 2019-2021  годах  на уровне 91,7%. Значительная доля показателя обусловлена высоким качеством предоставляемых услуг на основе</w:t>
      </w:r>
      <w:r w:rsidRPr="005653E6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хорошей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материально-технической базы учреждений дополнительного образования детей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повышением квалификации педагогов  данных учреждений, эксплуатацией Ледового дворца, лыжной базы, стадиона с искусственным покрытием и подогревом.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целью поддержки талантливых детей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 районе отработан комплекс ежегодных традиционных спортивных, творческих и интеллектуальных массовых мероприятий, число участников которых остается стабильно высоким на протяжении ряда лет.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Воспитанники дополнительного образования принимали активное участие в конкурсах, фестивалях, соревнованиях и показали  высокие результаты.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Обучающиеся в танцевальной студии «Фантазия» (рук.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Камаева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И.М.) приняли участие во Всероссийском фестивале-конкурсе «Ступени» и были награждены дипломом 2 степени.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Воспитанники клуба исследовательской и изобретательской деятельности «Эврика» (рук.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Баринов В.А.) завоевали 35 призовых мест во Всероссийском заочном конкурсе «Познание и творчество».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Первенство РМ по легкой атлетике. 1 место -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Шишканов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Василий (Тренер – преподаватель Храмов С. Н.).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Республиканские соревнования клуба юных хоккеистов «Золотая шайба» им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А.В.Тарасова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 1 место - младшая возрастная группа (Тренер – преподаватель Жуков В.В.).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 целью массового привлечения детского и взрослого населения к занятиям физической культурой и спортом ДЮСШ наделена полномочиями Центра тестирования Всероссийского физкультурн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о-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спортивного комплекса «Готов к труду и обороне». В районе проведены зимний и летний фестивали ГТО. Всего приняли участие 491 учащийся. По результатам участия на золотой знак отличия сдали  6 учащихся,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на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серебряный – 44 и бронзовый – 41.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года был проведён муниципальный этап Всероссийских спортивных соревнований школьников «Президентские спортивные игры» и «Президентские состязания».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Качество образования намного зависит от состояния материально-технической  базы учреждения образования.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районе созданы условия для развития конкуренции на рынке услуг дополнительного образования детей,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т.ч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развитие частных организаций, осуществляющих образовательную деятельность по дополнительным общеобразовательным программам. 15 декабря 2018 года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состоялось открытие немуниципального  детского клуба «Глобус», ведется набор детей в группы по интересам.</w:t>
      </w:r>
    </w:p>
    <w:p w:rsidR="005653E6" w:rsidRPr="005653E6" w:rsidRDefault="005653E6" w:rsidP="005653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Инфраструктура сети образовательных учреждений района в целом позволяет удовлетворить возрастающие образовательные запросы граждан с учётом интересов, потребностей, уровня развития, состояния здоровья, реализовать их право на общедоступное образование.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6.Культура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BD64B9" w:rsidP="005653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9978F58" wp14:editId="5662F9CF">
            <wp:simplePos x="0" y="0"/>
            <wp:positionH relativeFrom="column">
              <wp:posOffset>3629025</wp:posOffset>
            </wp:positionH>
            <wp:positionV relativeFrom="paragraph">
              <wp:posOffset>52705</wp:posOffset>
            </wp:positionV>
            <wp:extent cx="3419475" cy="1657350"/>
            <wp:effectExtent l="0" t="0" r="9525" b="0"/>
            <wp:wrapSquare wrapText="bothSides"/>
            <wp:docPr id="2052" name="Picture 4" descr="C:\Users\Андрей\Desktop\DSCN133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Users\Андрей\Desktop\DSCN1332 - копи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Уровень фактической обеспеченности клубами и учреждениями клубного типа в муниципальном районе в 2018 году составляет 100% (число учреждений клубного типа по нормативу составляет 14, фактическое количество учреждений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составило 23). Уровень фактической обеспеченности библиотеками в 2018 году составляет 100% (число библиотек по нормативу составляет 15, фактическое количество составило 21). В 2019 – 2021 гг. уровень фактической обеспеченности клубами и учреждениями клубного типа составит 100%. Уровень обеспеченности библиотеками составит 100%. </w:t>
      </w:r>
    </w:p>
    <w:p w:rsidR="005653E6" w:rsidRPr="005653E6" w:rsidRDefault="005653E6" w:rsidP="005653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число зданий муниципальных учреждений культуры в 2018 году составляет 22, из них 16 зданий, которые требуют капитального ремонта. Запланированные в 2018 году реконструкция МБУ «Чамзинский РДК» и капитальный ремонт здания сельского клуба с.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Отрадное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проводились, т.к. не выделялось дополнительных денежных средств.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доля муниципальных учреждений культуры, здания которых находятся в аварийном состоянии или требуют капитального ремонта (16 зданий), общем количестве муниципальных учреждений культуры составляет 72,7%.</w:t>
      </w:r>
      <w:r w:rsidRPr="00565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2019-2021 годах капитальный ремонт и реконструкция </w:t>
      </w:r>
      <w:bookmarkStart w:id="2" w:name="_Hlk5955854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зданий не запланированы, следовательно, доля </w:t>
      </w:r>
      <w:bookmarkEnd w:id="2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 составит 72,7%.</w:t>
      </w:r>
      <w:r w:rsidRPr="00565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:rsidR="005653E6" w:rsidRPr="005653E6" w:rsidRDefault="005653E6" w:rsidP="005653E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число объектов культурного наследия, находящихся в муниципальной собственности в 2018 году, составляет 24 здания, из них 10 зданий требующие консервации или реставрации (текущий ремонт), что составляет 41,7%.</w:t>
      </w:r>
      <w:r w:rsidRPr="005653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доля объектов культурного наследия, находящихся в муниципальной собственности и требующие консервации или реставрации, составит 37,5% (9 зданий). Доля объектов культурного наследия, находящихся в муниципальной собственности и требующие консервации или реставрации, составит в 2020 году 33,3% (10 зданий) и 30,0% (9 зданий) в 2021 году.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</w:t>
      </w:r>
    </w:p>
    <w:p w:rsid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7. Физическая культура и спорт</w:t>
      </w:r>
    </w:p>
    <w:p w:rsidR="007C5523" w:rsidRPr="005653E6" w:rsidRDefault="007C5523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7C5523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26F9680" wp14:editId="2DED6D17">
            <wp:simplePos x="0" y="0"/>
            <wp:positionH relativeFrom="column">
              <wp:posOffset>363855</wp:posOffset>
            </wp:positionH>
            <wp:positionV relativeFrom="paragraph">
              <wp:posOffset>93980</wp:posOffset>
            </wp:positionV>
            <wp:extent cx="2807970" cy="2047875"/>
            <wp:effectExtent l="0" t="0" r="0" b="9525"/>
            <wp:wrapSquare wrapText="bothSides"/>
            <wp:docPr id="5124" name="Picture 4" descr="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о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Массовая физическая культура, являясь одной из составляющих частей общей культуры человека, его здорового образа жизни, во многом определяет поведение человека в учебе, на производстве, в быту, в общении, способствует решению социально-экономических, воспитательных и оздоровительных задач.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населения, систематически занимающегося физической культурой и спортом постоянно растет:   в    2016 год - 35,8%;  в 2017 году - 37%, в 2018 – 47,8%, в 2019 планируется довести  до 48%, в 2020 году – до 49,9%, в 2021 г. – 51.9 %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занятий физической культурой и спортом в районе созданы необходимые условия. Функционируют 19 спортивных залов, 2 стадиона, ледовый дворец, теннисный корт, плавательный бассейн при МБУ «Комсомольская СОШ №3,  лыжная база, плоскостные спортивные сооружения.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обучающихся, систематически занимающихся физической культурой и спортом, в общей численности обучающихся составила в   2016 году-78,4%,  в 2017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году-80%, в 2018 году – 87,1%, в 2019 году планируется – 87,3%, в 2020 году-87,5% в 2021 году- 88.0%. Рост показателя связан с хорошей спортивной базой района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2018 году в рамках введения  в действие </w:t>
      </w: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Всероссийского физкультурно-спортивного комплекса "Готов к труду и обороне"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проведены спортивные мероприятия</w:t>
      </w: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среди жителей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района. В результате  105  человек выполнили нормативы ГТО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ДО «ДЮСШ Чамзинского района» – ведет работу по следующим направлениям: футбол, волейбол, легкая атлетика, лыжные гонки, хоккей, борьба вольная и греко-римская, баскетбол, настольный теннис, силовое троеборье, фигурное катание.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 занимающихся 921 человек.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 проводятся Первенства района по футболу, мини-футболу, баскетболу, волейболу, лыжным гонкам, биатлону, настольному теннису, борьбе, шахматам, шашкам, гиревому спорту,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армспорту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Сборные команды района по различным  видам спорта принимают активное участие в Чемпионатах и Первенствах Республики Мордовия и Всероссийских соревнованиях. Лыжники: 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Бекшаева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Елена, Федотов Игорь являются членами сборной Республики Мордовия по лыжным гонкам. 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Бекшаева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и Федотов Игорь стали обладателями Кубка Республики Мордовия по лыжным гонкам в общем зачете, сборная Чамзинского муниципального района стала победителем Чемпионата Республики Мордовия по лыжным гонкам. Большого успеха добились наши юные хоккеисты  средней и младшей   возрастной группы, став победителями  Первенства Республики Мордовия, команда средней возрастной группы заняла 1 место в Республиканских соревнованиях  и 9 место во Всероссийском финале на Призы Клуба «Золотая шайба». </w:t>
      </w:r>
    </w:p>
    <w:p w:rsidR="005653E6" w:rsidRPr="005653E6" w:rsidRDefault="005653E6" w:rsidP="005653E6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За последние годы в районе построено большое количество спортивных объектов:  ФОК п. Комсомольский, футбольное поле с искусственным покрытием в п. Чамзинка, теннисный корт п. Комсомольский, лыжная база в лесопарке п. Чамзинка,  ледовый дворец п. Комсомольский,  футбольное поле с искусственным покрытием и подогревом в п. Комсомольский.</w:t>
      </w:r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 xml:space="preserve"> Под патронажем партии «Единая Россия» в </w:t>
      </w:r>
      <w:proofErr w:type="spellStart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>Чамзинской</w:t>
      </w:r>
      <w:proofErr w:type="spellEnd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 xml:space="preserve"> средней школе №2 была открыта спортивная площадка с искусственным покрытием.  По </w:t>
      </w:r>
      <w:proofErr w:type="spellStart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>грантовой</w:t>
      </w:r>
      <w:proofErr w:type="spellEnd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 xml:space="preserve"> поддержке сельских территорий оборудована площадка  со спортивными  тренажерами в количестве 11 штук  в селе  </w:t>
      </w:r>
      <w:proofErr w:type="gramStart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>Большое</w:t>
      </w:r>
      <w:proofErr w:type="gramEnd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 xml:space="preserve"> </w:t>
      </w:r>
      <w:proofErr w:type="spellStart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>Маресево</w:t>
      </w:r>
      <w:proofErr w:type="spellEnd"/>
      <w:r w:rsidRPr="005653E6">
        <w:rPr>
          <w:rFonts w:ascii="Times New Roman" w:eastAsia="+mn-ea" w:hAnsi="Times New Roman" w:cs="Times New Roman"/>
          <w:color w:val="0D0612"/>
          <w:kern w:val="24"/>
          <w:sz w:val="28"/>
          <w:szCs w:val="28"/>
          <w:lang w:eastAsia="ru-RU"/>
        </w:rPr>
        <w:t>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Введение в строй новых спортивных объектов позволило большему количеству жителей Чамзинского муниципального района заниматься физической культурой и спортом.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Реализация муниципальной  программы «Развитие физической культуры и массового спорта  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на 2016- 2021 годы» позволит закрепить спортивные позиции района.</w:t>
      </w:r>
    </w:p>
    <w:p w:rsid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D52BD" w:rsidRPr="005653E6" w:rsidRDefault="006D52BD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8. Жилищное строительство и обеспечение граждан жильем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6D52BD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194E9A6C" wp14:editId="7786E6A7">
            <wp:simplePos x="0" y="0"/>
            <wp:positionH relativeFrom="column">
              <wp:posOffset>1638300</wp:posOffset>
            </wp:positionH>
            <wp:positionV relativeFrom="paragraph">
              <wp:posOffset>41910</wp:posOffset>
            </wp:positionV>
            <wp:extent cx="5000625" cy="1143000"/>
            <wp:effectExtent l="0" t="0" r="9525" b="0"/>
            <wp:wrapSquare wrapText="bothSides"/>
            <wp:docPr id="67590" name="Picture 6" descr="C:\Users\Андрей\Desktop\Изображение 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90" name="Picture 6" descr="C:\Users\Андрей\Desktop\Изображение 38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2018 году в </w:t>
      </w:r>
      <w:proofErr w:type="spellStart"/>
      <w:r w:rsidR="005653E6"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Чамзинском</w:t>
      </w:r>
      <w:proofErr w:type="spellEnd"/>
      <w:r w:rsidR="005653E6"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муниципальном районе введено в эксплуатацию 36 жилых домов, </w:t>
      </w:r>
      <w:r w:rsidR="005653E6"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lastRenderedPageBreak/>
        <w:t>общей площадью 6467 квадратных метров.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Жилищный фонд Чамзинского муниципального района </w:t>
      </w:r>
      <w:r w:rsidRPr="005653E6"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по состоянию на 01.01.2019 г. составляет </w:t>
      </w:r>
      <w:r w:rsidRPr="005653E6">
        <w:rPr>
          <w:rFonts w:ascii="Times New Roman" w:eastAsia="Times New Roman" w:hAnsi="Times New Roman" w:cs="Times New Roman"/>
          <w:bCs/>
          <w:iCs/>
          <w:kern w:val="16"/>
          <w:sz w:val="28"/>
          <w:szCs w:val="28"/>
          <w:lang w:eastAsia="ar-SA"/>
        </w:rPr>
        <w:t xml:space="preserve">876,4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тысяч квадратных метров общей площади.   В среднем </w:t>
      </w:r>
      <w:r w:rsidRPr="005653E6"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на одного жителя района приходится 29,5 кв. м, в том числе, 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введенная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действие за 2018 год составила 0,22 кв. м.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На период 2019-2021 годов планируется увеличение общей площади жилых помещений, приходящейся в среднем на одного жителя, в 2019 году до 29,5 кв. м, в 2020 году – до 29,9 кв. м., в 2021 году – до 30,0 кв. м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с учетом прогноза </w:t>
      </w: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ввода жилья в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2019г.- 9000 кв. м. 2020г- 9400 кв. м, 2021г.-9600 кв. м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</w:pPr>
      <w:r w:rsidRPr="005653E6">
        <w:rPr>
          <w:rFonts w:ascii="Arial" w:eastAsia="Times New Roman" w:hAnsi="Arial" w:cs="Times New Roman"/>
          <w:bCs/>
          <w:kern w:val="16"/>
          <w:sz w:val="28"/>
          <w:szCs w:val="28"/>
          <w:lang w:eastAsia="ru-RU"/>
        </w:rPr>
        <w:tab/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Площадь 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>земельных участков, предоставленных для строительства в расчёте на 10 тысяч человек населения в 2018 году составила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ru-RU"/>
        </w:rPr>
        <w:t xml:space="preserve"> 1,39 га, что составляет 137,6% от плана. К 2021 году прогнозируется увеличить площадь земельных участков предоставленных под строительство до 1,6 га. </w:t>
      </w:r>
    </w:p>
    <w:p w:rsidR="005653E6" w:rsidRPr="005653E6" w:rsidRDefault="005653E6" w:rsidP="005653E6">
      <w:pPr>
        <w:tabs>
          <w:tab w:val="num" w:pos="709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Площадь земельных участков, предоставленных для жилищного строительства, индивидуального  строительства и комплексного освоения в целях жилищного строительства в расчете на 10 тыс. чел.   в 2016 году составила 0,30га,  в  2017 году- 1,22га, в 2018 году – 1,05 га. В 2018 году  предоставлено земельных участков    для жилищного строительства, индивидуального  строительства и комплексного освоения в целях жилищного строительства в расчете на 10 тыс. чел   на 0,17га  меньше по сравнению с 2017 годом.</w:t>
      </w: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 xml:space="preserve"> </w:t>
      </w:r>
    </w:p>
    <w:p w:rsidR="005653E6" w:rsidRPr="005653E6" w:rsidRDefault="005653E6" w:rsidP="005653E6">
      <w:pPr>
        <w:widowControl w:val="0"/>
        <w:tabs>
          <w:tab w:val="num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ab/>
        <w:t>За 2018год  выделено 22  земельных участков под индивидуальное жилищное строительство, в том числе 20 участков многодетным семьям и 2  участка  через торги путем проведения аукциона по продаже земельных участков.</w:t>
      </w: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</w:t>
      </w:r>
    </w:p>
    <w:p w:rsidR="005653E6" w:rsidRPr="005653E6" w:rsidRDefault="005653E6" w:rsidP="005653E6">
      <w:pPr>
        <w:widowControl w:val="0"/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sz w:val="20"/>
          <w:szCs w:val="20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ru-RU"/>
        </w:rPr>
        <w:tab/>
      </w: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       На период 2019-2021 годов    планируется увеличить  предоставление земельных участков    для жилищного строительства, индивидуального  строительства и комплексного освоения в целях жилищного строительства в расчете на 10 тыс. чел  в 2019 году до 1,1 га, в 2020 году до 1,3 га, в 20121 году до 1,4 га. </w:t>
      </w:r>
    </w:p>
    <w:p w:rsidR="005653E6" w:rsidRPr="005653E6" w:rsidRDefault="005653E6" w:rsidP="005653E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 за 2018 год составила  2,6%.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 свои жилищные условия, участвуя в Федеральных и Республиканских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программах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улучшили 34 семьи, из них:                                                                                      </w:t>
      </w:r>
    </w:p>
    <w:p w:rsidR="005653E6" w:rsidRPr="005653E6" w:rsidRDefault="005653E6" w:rsidP="005653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- 16 семей по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подпрограмме «Устойчивое развитие сельских территорий»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</w:r>
      <w:r w:rsidRPr="005653E6">
        <w:rPr>
          <w:rFonts w:ascii="Times New Roman" w:eastAsia="Times New Roman CYR" w:hAnsi="Times New Roman" w:cs="Times New Roman"/>
          <w:sz w:val="28"/>
          <w:szCs w:val="28"/>
          <w:lang w:eastAsia="ar-SA"/>
        </w:rPr>
        <w:t>»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освоено за счет федеральных средств 16379,9 тыс. руб., за счет республиканских средств 4169,1 тыс. руб., за счет местного бюджета 302,1 тыс. руб.</w:t>
      </w:r>
    </w:p>
    <w:p w:rsidR="005653E6" w:rsidRPr="005653E6" w:rsidRDefault="005653E6" w:rsidP="005653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</w:t>
      </w:r>
      <w:hyperlink w:anchor="sub_1002" w:history="1">
        <w:r w:rsidRPr="005653E6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 xml:space="preserve">основного </w:t>
        </w:r>
        <w:proofErr w:type="gramStart"/>
        <w:r w:rsidRPr="005653E6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мероприяти</w:t>
        </w:r>
      </w:hyperlink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«Обеспечение жильем молодых семей» </w:t>
      </w:r>
      <w:hyperlink r:id="rId20" w:history="1">
        <w:r w:rsidRPr="005653E6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государственной программы</w:t>
        </w:r>
      </w:hyperlink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список молодых семей - претендентов на получение социальной выплаты в 2018 году включено 15 молодых семей. Свидетельств о праве на получение социальной выплаты на приобретение жилого помещения или строительство индивидуального жилого дома выдано 15 молодым семьям. В 2018 году освоено бюджетных средств, выделенных на предоставление социальных выплат молодым семьям в рамках реализации </w:t>
      </w:r>
      <w:hyperlink w:anchor="sub_1002" w:history="1">
        <w:r w:rsidRPr="005653E6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 xml:space="preserve">основного </w:t>
        </w:r>
        <w:proofErr w:type="gramStart"/>
        <w:r w:rsidRPr="005653E6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мероприяти</w:t>
        </w:r>
      </w:hyperlink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«Обеспечение жильем молодых семей»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13039,8 тыс. рублей из них: за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счет средств федерального бюджета 10133,8 тыс. рублей, за счет средств республиканского бюджета 2533,4 тыс. рублей и за счет средств местного бюджета 372,6 тыс. рублей.</w:t>
      </w:r>
    </w:p>
    <w:p w:rsidR="005653E6" w:rsidRPr="005653E6" w:rsidRDefault="005653E6" w:rsidP="005653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реализации основного мероприятия «Выполнение государственных обязательств по обеспечению жильем категорий граждан, установленных федеральным законодательством» </w:t>
      </w:r>
      <w:hyperlink r:id="rId21" w:history="1">
        <w:r w:rsidRPr="005653E6">
          <w:rPr>
            <w:rFonts w:ascii="Times New Roman" w:eastAsia="Times New Roman" w:hAnsi="Times New Roman" w:cs="Times New Roman"/>
            <w:bCs/>
            <w:sz w:val="28"/>
            <w:szCs w:val="28"/>
            <w:lang w:eastAsia="ar-SA"/>
          </w:rPr>
          <w:t>государственной программы</w:t>
        </w:r>
      </w:hyperlink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выдан  государственных жилищный сертификат о предоставлении социальной выплаты на приобретение жилого помещения. Освоено бюджетных средств, выделенных на предоставление социальных выплат в рамках реализации вышеуказанного мероприятия, 2043,8 тыс. рублей из них: за счет средств федерального бюджета 2043,8 тыс. рублей.</w:t>
      </w:r>
    </w:p>
    <w:p w:rsidR="005653E6" w:rsidRPr="005653E6" w:rsidRDefault="005653E6" w:rsidP="005653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Одной семье была предоставлена социальная выплата за счет средств республиканского бюджета в размере 710,0 тыс. рублей на приобретение жилья согласно</w:t>
      </w:r>
      <w:r w:rsidRPr="005653E6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Республики Мордовия от 16 января 2008 года №7</w:t>
      </w:r>
      <w:r w:rsidRPr="005653E6">
        <w:rPr>
          <w:rFonts w:ascii="Courier New" w:eastAsia="Times New Roman" w:hAnsi="Courier New" w:cs="Courier New"/>
          <w:sz w:val="27"/>
          <w:szCs w:val="27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предоставлении гражданам социальных выплат на строительство,</w:t>
      </w:r>
      <w:r w:rsidRPr="005653E6">
        <w:rPr>
          <w:rFonts w:ascii="Courier New" w:eastAsia="Times New Roman" w:hAnsi="Courier New" w:cs="Courier New"/>
          <w:color w:val="000000"/>
          <w:sz w:val="28"/>
          <w:szCs w:val="28"/>
          <w:lang w:eastAsia="ru-RU"/>
        </w:rPr>
        <w:t xml:space="preserve"> </w:t>
      </w: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реконструкцию, приобретение жилья, оказание содействия в индивидуальном жилищном строительстве в Республике Мордовия».</w:t>
      </w:r>
    </w:p>
    <w:p w:rsidR="005653E6" w:rsidRPr="005653E6" w:rsidRDefault="005653E6" w:rsidP="005653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району на осуществление государственных полномочий по обеспечению жилыми помещениями детей-сирот, детей, оставшихся без попечения родителей, лиц из числа детей-сирот, оставшихся без попечения родителей было предоставлено 1105,7 тыс. рублей: из них 1096,2 тыс. рублей - из республиканского бюджета, 9,5 тыс. рублей - из федерального бюджета, что позволило приобрести 1 квартиру, которая  предоставлена по договору найма специализированного жилищного фонда. </w:t>
      </w:r>
      <w:proofErr w:type="gramEnd"/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Площадь земельных участков, предоставленных для строительства, в отношении которых со дня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 объектов индивидуального жилищного строительства (в течение трех лет)- составила 950 кв. м; иных объектов капитального строительства (в течение пяти лет) составила в 2016 году 37416 кв. м, в 2017 году- 37520 кв. м, в 2018 году -28630 кв. м. На период 2019-2021 годов планируется дальнейшее снижение показателя, в 2019г. до 25000кв. м, в 2020 г. до 22000 кв. м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2021 г.-до 19000 кв. м.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Объем не завершенного в установленные сроки 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строительства, осуществляемого за счет средств бюджета муниципального района за 2018 год составляет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– 109 032,6 тыс. рублей.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2019 году планируется – 154 024,2 тыс. рублей.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Увеличение объема обусловлено строительством  объекта «Водозабор №2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. Чамзинка Чамзинского муниципального района» на сумму – 27100 тыс. рублей и строительством детского сада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.К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омсомольский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на сумму 40888,3 тыс. рублей.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Снижение объема планируется осуществить за счет проведения государственной регистрации объектов: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«Водоснабжение с.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Киржеманы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Алексеевского сельского поселения Чамзинского муниципального района» – 7 505,3 тыс. рублей.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 реконструкция дороги в с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.М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едаево-1695,7 тыс. рублей.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реконструкция дороги до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.С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орлиней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- 6984,9 тыс. рублей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lastRenderedPageBreak/>
        <w:t xml:space="preserve">- строительство автодороги до кладбища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.К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ульмино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– 6810,818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тыс.руб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В 2020 году планируется – 102647,4 тыс. рублей.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Снижение объема планируется осуществить за счет ввода в эксплуатацию и проведения государственной регистрации объектов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строительство детского сада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.К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омсомольский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на сумму 40888,3 тыс. рублей.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</w:t>
      </w: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строительство автомобильной дороги до кладбища в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р.п</w:t>
      </w:r>
      <w:proofErr w:type="spell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. Чамзинка – 873,938 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тыс. рублей.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- строительство автомобильной дороги по ул. Дружбы в п. Чамзинка – 1734,095 тыс. руб.</w:t>
      </w: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ул. Молодежная в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амзинка</w:t>
      </w:r>
      <w:proofErr w:type="spell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1981,553 тыс. руб.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автомобильной дороги по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ул</w:t>
      </w:r>
      <w:proofErr w:type="gram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.П</w:t>
      </w:r>
      <w:proofErr w:type="gram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олевая</w:t>
      </w:r>
      <w:proofErr w:type="spell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п.Чамзинка</w:t>
      </w:r>
      <w:proofErr w:type="spell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2365,228 тыс. руб.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- строительство дренажа по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ул</w:t>
      </w:r>
      <w:proofErr w:type="gram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.Р</w:t>
      </w:r>
      <w:proofErr w:type="gram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еспубликанская</w:t>
      </w:r>
      <w:proofErr w:type="spell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в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п.Чамзинка</w:t>
      </w:r>
      <w:proofErr w:type="spellEnd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 xml:space="preserve"> – 3236,99 </w:t>
      </w:r>
      <w:proofErr w:type="spellStart"/>
      <w:r w:rsidRPr="005653E6">
        <w:rPr>
          <w:rFonts w:ascii="Times New Roman" w:eastAsia="Times New Roman" w:hAnsi="Times New Roman" w:cs="Times New Roman"/>
          <w:kern w:val="16"/>
          <w:sz w:val="28"/>
          <w:szCs w:val="28"/>
          <w:lang w:eastAsia="ar-SA"/>
        </w:rPr>
        <w:t>тыс.руб</w:t>
      </w:r>
      <w:proofErr w:type="spellEnd"/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«Модернизация системы газоснабжения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.А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праксино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» - 296,702 тыс. рублей. 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2021 году объем не завершенного в установленные сроки 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строительства, осуществляемого за счет средств бюджета муниципального района планируется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сумме 37 585 тыс. рублей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Увеличение объема обусловлено модернизацией и строительством следующих объектов: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 модернизацией сетей водоснабжения в р.п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.К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омсомольский-4067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тыс.руб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- строительство инженерных сетей водоснабжения на улицах: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А.Осипова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К.Белоус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, Новоселов,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Алеева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 в р.п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.К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омсомольский-2500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тыс.рублей</w:t>
      </w:r>
      <w:proofErr w:type="spellEnd"/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- строительство сетей водоснабжения в с</w:t>
      </w:r>
      <w:proofErr w:type="gram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.А</w:t>
      </w:r>
      <w:proofErr w:type="gram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праксино-1200 тыс. рублей.</w:t>
      </w:r>
    </w:p>
    <w:p w:rsidR="005653E6" w:rsidRPr="005653E6" w:rsidRDefault="005653E6" w:rsidP="005653E6">
      <w:pPr>
        <w:widowControl w:val="0"/>
        <w:tabs>
          <w:tab w:val="num" w:pos="567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Снижение объема планируется осуществить за счет ввода в эксплуатацию и проведения государственной регистрации следующих объектов: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строительство водозабора №2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 Чамзинка Чамзинского муниципального района» на сумму – 45729,44 тыс. рублей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 xml:space="preserve">завершение строительства водозабора №2 в </w:t>
      </w:r>
      <w:proofErr w:type="spellStart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р.п</w:t>
      </w:r>
      <w:proofErr w:type="spellEnd"/>
      <w:r w:rsidRPr="005653E6">
        <w:rPr>
          <w:rFonts w:ascii="Times New Roman" w:eastAsia="Times New Roman" w:hAnsi="Times New Roman" w:cs="Times New Roman"/>
          <w:bCs/>
          <w:kern w:val="16"/>
          <w:sz w:val="28"/>
          <w:szCs w:val="28"/>
          <w:lang w:eastAsia="ar-SA"/>
        </w:rPr>
        <w:t>. Чамзинка Чамзинского муниципального района» на сумму – 27100 тыс. рублей.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9. Жилищно-коммунальное хозяйство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Особое место в экономике Чамзинского муниципального района занимает жилищно-коммунальный комплекс. От эффективности его работы напрямую зависит функционирование объектов городского хозяйства, социальной сферы, качество предоставляемых населению услуг. Самым существенным аспектом деятельности является предоставление услуг по обслуживанию жилищного фонда и поставка коммунальных ресурсов.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услуги жилищно-коммунального хозяйства на территории Чамзинского района оказывали: муниципальное унитарное  предприятие МУП «Водоканал+», коммерческие организации: ООО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Спецавтохозяйство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ООО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ИнКомСистемы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-Мордовия», Филиал ОАО " МРСК Волги-Мордовэнерго", Филиал АО "Газпром газораспределение Саранск"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амзинка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Основная деятельность муниципальных предприятия МУП «Водоканал+», - оказание услуг по водоснабжению и водоотведению, ООО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ИнКомСистемы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-Мордовия» -  по производству тепловой энергии и горячей воды. ООО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Спецавтохозяйство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по сбору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вывозу твёрдых коммунальных отходов и эксплуатация объектов, используемых для их утилизации (захоронения), ОАО «МРСК Волги-Мордовэнерго» - электроснабжение, АО "Газпром газораспределение Саранск" - газоснабжение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Республики Мордовия и муниципального района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Чамзинского муниципального района  в 2018 году составила 80%.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многоквартирных домов, в которых собственники помещений выбрали  и реализуют один из способов управления многоквартирными домами, составляет -100%.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на кадастровый учет земельных участков под многоквартирными жилыми домами,  государственный кадастровый учет земельных участков, на которых расположены многоквартирные дома, составляет -100%.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разработаны муниципальные программы по проведению капитального ремонта в многоквартирных домах.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Федеральным законом № 185-ФЗ с 2008 года предусматривались средства в бюджете Республики Мордовия, в бюджете Чамзинского муниципального района и в бюджетах городских поселений Чамзинка и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Комсомольский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долевого финансирования адресных программ по проведению капитального ремонта многоквартирных домов и адресных программ по переселению граждан из аварийного жилищного фонда.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В 2018 году в рамках Республиканской адресной программы «Проведение капитального ремонта общего имущества в многоквартирных домах, в Республике Мордовия на 2014-2043 годы» выполнены работы по капитальному ремонту в многоквартирных домах, общей площадью 28,210 тыс. кв. м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на сумму 25127,293 тыс. рублей.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п. Комсомольский выполнены работы по капремонту мягкой кровли в домах №49,15 Микрорайон-1, д.30 Микрорайон-2, в п. Чамзинка по ул.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Горячкина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д.12. выполнен капремонт системы водоотведения в д.№10 Микрорайон-1, по ул. Республиканской д.№11 капитально отремонтирован фасад, отремонтирована шатровая кровля и внутридомовые инженерные системы электроснабжения;  по ул. Республиканская д.№13, 5 отремонтированы внутридомовые инженерные системы электроснабжения;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п. Чамзинка по ул. Московская отремонтирована шатровая кровля и внутридомовые инженерные системы электроснабжения; по ул. Кольцевая д.№11 капитально отремонтирован фасад, отремонтирована шатровая кровля и внутридомовые инженерные системы электроснабжения;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с.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Апраксино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ул. Центральная д.№7 капитально отремонтирована шатровая кровля. Итого по результатам программы улучшили условия проживания 1403 человека.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2018 году городские поселения Чамзинка и Комсомольский в рамках федерального приоритетного проекта «Формирование комфортной городской среды» разработаны муниципальные программы на 2018 год и 2019-2023 годы. Проведены публичные обсуждения. Всего выполнены работы на сумму 5670,780 тыс. рублей. Благоустроено 10 дворовых территорий, в том числе: в п. Комсомольский выполнены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работы по благоустройству четырех дворовых территорий на сумму 3103,34 тыс. рублей. Это дворовые территории многоквартирных жилых домов №45,46 Микрорайона 1; жилых домов №23,25 по ул.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Садовая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Выполнено асфальтирование проездов, установка скамеек, строительство и ремонт парковок площадью 4581 кв. м. Из федерального и республиканского бюджетов на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софинансирование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муниципальной программы п. Комсомольский было выделено субсидий в сумме 2459,951 тыс. рублей и 643,389 тыс. рублей из местного бюджета Комсомольского городского поселения.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 городском поселении Чамзинка по программе формирования современной городской среды благоустроены 6 придомовых территорий с покрытием из асфальта общей площадью 1591,6 кв. м.  дома №№ 1,2,3,4,6,7 по ул. Московская. Выделено субсидий из федерального и республиканского бюджетов 1890,832 тыс. руб., из местного бюджета выделено 676,608 тыс. руб. Мероприятия, запланированные на 2018 год полностью выполнены.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рамках строительства водозабора №2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амзинка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, общая стоимость которого составляет 143 889,908 тыс. рублей,   в 2018 году выполнены работы на сумму 16471,202 тыс. рублей. По итогам 2-х лет выполнены следующие  работы: пробурены 2 скважины и построены сети водопровода (3 970,2 м Д315 мм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1 671,4 м Д110 мм.) до п. Комсомольский и от скважин до насосной станции, построены один резервуар чистой воды объемом 600 куб. м и насосная станция.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Разработана проектно-сметная документация и выполнены работы по модернизации системы газоснабжения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с.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Апраксино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Стоимость работ составила 739,495 тыс. рублей, в том числе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софинансирование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 Республиканского бюджета-702,515 тыс. рублей, из местного бюджета -36,975 тыс. рублей. В ходе работ на отведенном участке распределительных сетей газопровода низкого давления проведены мероприятия по модернизации системы газоснабжения, в том числе проложен газопровод среднего давления 303м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газопровод низкого давления 15м. Для снижения давления газа до рабочего давления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установлена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ГРПШ-07-2У1.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</w:t>
      </w:r>
      <w:r w:rsidRPr="005653E6">
        <w:rPr>
          <w:rFonts w:ascii="Times New Roman" w:eastAsia="Calibri" w:hAnsi="Times New Roman" w:cs="Times New Roman"/>
          <w:sz w:val="28"/>
          <w:szCs w:val="28"/>
        </w:rPr>
        <w:t>Органами местного самоуправления совместно с ООО «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Спецавтохозяйство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» проведена работа по мониторингу состояния сферы сбора, вывоза и утилизации ТКО по 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Чамзинскому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району. Составлен перечень </w:t>
      </w:r>
      <w:proofErr w:type="spellStart"/>
      <w:r w:rsidRPr="005653E6">
        <w:rPr>
          <w:rFonts w:ascii="Times New Roman" w:eastAsia="Calibri" w:hAnsi="Times New Roman" w:cs="Times New Roman"/>
          <w:sz w:val="28"/>
          <w:szCs w:val="28"/>
        </w:rPr>
        <w:t>отходообразователей</w:t>
      </w:r>
      <w:proofErr w:type="spellEnd"/>
      <w:r w:rsidRPr="005653E6">
        <w:rPr>
          <w:rFonts w:ascii="Times New Roman" w:eastAsia="Calibri" w:hAnsi="Times New Roman" w:cs="Times New Roman"/>
          <w:sz w:val="28"/>
          <w:szCs w:val="28"/>
        </w:rPr>
        <w:t>. Услугой сбора и вывоза ТКО охвачено 21564 человек в 12 поселениях. Объем вывозимых отходов за 2018 год составил 124,671 тысяч кубометров.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10. Организация муниципального управления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2018 году проведена  работа по реорганизации сельских поселений. Преобразования коснулись 4 сельских поселений: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Маломаресевского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Большеремезенского</w:t>
      </w:r>
      <w:proofErr w:type="spellEnd"/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Мокшалейского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Большемаресевского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сельских поселений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После принятия </w:t>
      </w:r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Закона Республики Мордовия от 17 мая 2018 г. N 52-З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Маломаресевское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сельские поселения были преобразованы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Большеремезенское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поселение с административным центром в селе Большие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Ремезенки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Мокшалейское и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сельские поселения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Большемаресевское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с административным центром в селе Большое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Маресево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:rsidR="005653E6" w:rsidRPr="005653E6" w:rsidRDefault="005653E6" w:rsidP="005653E6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доходов консолидированного бюджета Чамзинского муниципального района (без учета субвенций) в 2016 году составил в размере 473 852,4 тыс. рублей, объем налоговых и неналоговых доходов (за исключением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поступлений налоговых доходов по дополнительным нормативам) – 412 919,9 тыс. рублей, доля – 87,1%.</w:t>
      </w:r>
    </w:p>
    <w:p w:rsidR="005653E6" w:rsidRPr="005653E6" w:rsidRDefault="005653E6" w:rsidP="005653E6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   (без учета субвенций)      в 2017 году составил 301 010,9 тыс. рублей, объем налоговых и неналоговых доходов (за исключением поступлений налоговых доходов по дополнительным нормативам) составил – 240 672,5 тыс. рублей, доля – 80,0%.</w:t>
      </w:r>
    </w:p>
    <w:p w:rsidR="005653E6" w:rsidRPr="005653E6" w:rsidRDefault="005653E6" w:rsidP="005653E6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2018 году составил 284 269,1 тыс. рублей, объем налоговых и неналоговых доходов (за исключением поступлений налоговых доходов по дополнительным нормативам) составил – 209 919,8 тыс. рублей, доля – 73,8%.</w:t>
      </w:r>
    </w:p>
    <w:p w:rsidR="005653E6" w:rsidRPr="005653E6" w:rsidRDefault="005653E6" w:rsidP="005653E6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2019 году запланирован в размере 277 819,4 тыс. рублей, объем налоговых и неналоговых доходов (за исключением поступлений налоговых доходов по дополнительным нормативам) – 194 064,8 тыс. рублей, доля – 69,9%.</w:t>
      </w:r>
    </w:p>
    <w:p w:rsidR="005653E6" w:rsidRPr="005653E6" w:rsidRDefault="005653E6" w:rsidP="005653E6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2020 году запланирован в размере 259 985,6 тыс. рублей, объем налоговых и неналоговых доходов (за исключением поступлений налоговых доходов по дополнительным нормативам) – 207 333 тыс. рублей, доля – 79,7%.</w:t>
      </w:r>
    </w:p>
    <w:p w:rsidR="005653E6" w:rsidRPr="005653E6" w:rsidRDefault="005653E6" w:rsidP="005653E6">
      <w:pPr>
        <w:tabs>
          <w:tab w:val="left" w:pos="3000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Общий объем доходов консолидированного бюджета Чамзинского муниципального района (без учета субвенций) в 2021 году запланирован в размере 270 356,0 тыс. рублей, объем налоговых и неналоговых доходов (за исключением поступлений налоговых доходов по дополнительным нормативам) – 2200213,8 тыс. рублей, доля – 81,5%.</w:t>
      </w:r>
    </w:p>
    <w:p w:rsidR="005653E6" w:rsidRPr="005653E6" w:rsidRDefault="005653E6" w:rsidP="005653E6">
      <w:pPr>
        <w:tabs>
          <w:tab w:val="left" w:pos="300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В целях повышения уровня доходов консолидированного бюджета Чамзинского муниципального района разработан комплекс мероприятий по увеличению поступлений налоговых и неналоговых доходов консолидированного бюджета района. По налогу на доходы физических лиц работает комиссия по легализации «теневой» заработной платы; по налогу на имущество физических лиц проводится инвентаризация недвижимого имущества, содействие физическим лицам по оформлению прав на имущество, организация контроля индивидуального жилищного строительства, выявление неплательщиков, контроль платы налога в бюджет; по земельному налогу осуществляется выявление и инвентаризация прав на земельные участки, продажа земельных участков с целью увеличения числа собственников, изменение категории земельных участков, установление оптимальных налоговых ставок.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 увеличивается в связи с увеличением запланированного объема налоговых и неналоговых доходов местного бюджета и со значительным уменьшением безвозмездных перечислений из вышестоящего бюджета. 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Просроченная кредиторская задолженность по оплате труда (включая начисления на оплату труда) муниципальных учреждений в 2016-2018 годах  отсутствует. На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период 2019-2021 годов просроченная кредиторская задолженность по оплате труда не планируется.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2016 году составили в размере 43 755,6 тыс. рублей, среднегодовая численность постоянного населения 30,483 тыс. человек. Расходы в расчете на одного жителя составили 1 435,4 рублей.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2017 году составили 42 875,1 тыс. рублей, среднегодовая численность постоянного населения 30,254 тыс. человек. Расходы в расчете на одного жителя составили 1 417,2 рублей. 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бюджета Чамзинского муниципального района на содержание работников органов местного самоуправления в 2018 году составили 45790,4 тыс. рублей, среднегодовая численность постоянного населения 29,934 тыс. человек. Расходы в расчете на одного жителя составили 1 529,7 рублей. Увеличение показателя связано с повышением заработной платы муниципальным служащим и ростом МРОТ.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2019 году запланированы в размере 36342,8 тыс. рублей, среднегодовая численность постоянного населения 29,810 тыс. человек. Расходы в расчете на одного жителя составят 1 219,1 рублей. 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2020 году запланированы в размере 36135,2 тыс. рублей, среднегодовая численность постоянного населения 29,823 тыс. человек. Расходы в расчете на одного жителя составят 1 211,7 рублей. 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бюджета Чамзинского муниципального района на содержание работников органов местного самоуправления в 2021 году запланированы в размере 36 328,3 тыс. рублей, среднегодовая численность постоянного населения 29,772 тыс. человек. Расходы в расчете на одного жителя составили 1220,2 рублей. </w:t>
      </w:r>
    </w:p>
    <w:p w:rsidR="005653E6" w:rsidRPr="005653E6" w:rsidRDefault="005653E6" w:rsidP="005653E6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2018 году  произошло снижение доли основных фондов организаций муниципальной формы собственности, находящихся в стадии банкротства в  2018 году    (МП «Водоканал», МУП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Чамзинкаводоканал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», МП «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ВодоканалСервис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») с 2,98% в 2017 г. до 1,46% в 2018 г.  Уменьшение значения показателя в 2018 году связано с уменьшением  стоимости основных фондов   организаций муниципальной формы собственности, находящихся в стадии банкротства, в связи с  полной реализацией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имущества должника МП «Водоканал», находившегося в конкурсной  массе (стоимость основных фондов по  МП «Водоканал» равен 1,00 руб.).</w:t>
      </w:r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Запланировано  снижение доли в  2019 год</w:t>
      </w:r>
      <w:proofErr w:type="gramStart"/>
      <w:r w:rsidRPr="005653E6">
        <w:rPr>
          <w:rFonts w:ascii="Times New Roman" w:eastAsia="Calibri" w:hAnsi="Times New Roman" w:cs="Times New Roman"/>
          <w:sz w:val="28"/>
          <w:szCs w:val="28"/>
        </w:rPr>
        <w:t>у-</w:t>
      </w:r>
      <w:proofErr w:type="gramEnd"/>
      <w:r w:rsidRPr="005653E6">
        <w:rPr>
          <w:rFonts w:ascii="Times New Roman" w:eastAsia="Calibri" w:hAnsi="Times New Roman" w:cs="Times New Roman"/>
          <w:sz w:val="28"/>
          <w:szCs w:val="28"/>
        </w:rPr>
        <w:t xml:space="preserve"> до 1,4% и сохранение показателя на период до 2021 года.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SimSun" w:hAnsi="Times New Roman" w:cs="Times New Roman"/>
          <w:kern w:val="16"/>
          <w:sz w:val="28"/>
          <w:szCs w:val="28"/>
        </w:rPr>
        <w:t xml:space="preserve">Во всех городских и сельских поселениях утверждены генеральные планы муниципальных образований.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Схема территориального планирования Чамзинского муниципального района утверждена Решением Совета депутатов Чамзинского муниципального района от 15.05.2012г. №40.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итогам социологического обследования, проведенного ГУ «Научный центр социально - экономического мониторинга Республики Мордовия», доля населения, положительно оценивающего деятельность органов местного самоуправления Чамзинского муниципального района     за 2016 г. составила 57,0% от числа опрошенного населения, за 2017 год- 58,0%, за 2018 год -55,9%. В оценке деятельности органов местного самоуправления отрицательно  отразились проблемы водоснабжения и качества дорог.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Дальнейшая работа в этом направлении позволит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повысить долю населения, положительно оценивающего деятельность органов местного самоуправления Чамзинского муниципального района к 2021 году  до 60% 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 отмечается ежегодное снижение среднегодовой численности постоянного населения. 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Среднегодовая численность по годам:   2016г.-30483 человек, 2017г.- 30254 человек, 2018г.- 29934 человек. Основными причинами уменьшения численности населения  являются естественная убыль и миграция.  Реализацию мероприятий национального проекта «Демография», позволит снизить темпы уменьшения численности населения. Ожидается среднегодовая численности населения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2019 г.-29810 человек,  в 2020 г. -29823 человека, в 2021 г.- 29772 человека.</w:t>
      </w:r>
    </w:p>
    <w:bookmarkEnd w:id="0"/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Чамзинского муниципального района ведет постоянную работу по информационной открытости деятельности органов местного самоуправления. Информация по деятельности Совета депутатов и администрации Чамзинского муниципального района своевременно размещается на официальном сайте,  дата создания сайта 24 августа 2009 года, сайт обновлен в апреле 2012 года. На сайте размещаются: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нормативно - правовые акты Администрации и Совета депутатов Чамзинского муниципального района;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из пенсионного фонда;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размещаются в новостях все события, происходящие в районе;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ежегодно публикуются сведения о доходах муниципальных служащих и руководителей муниципальных образований;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-создан раздел по электронной записи в детские дошкольные учреждения;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размещается информация по Управлению образования (что происходит в жизни школ, конкурсы и т.д.);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действует электронная приемная, где через электронный почтовый ящик можно «задать вопрос главе»;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-размещается справочная информация по участникам программ  «Обеспечение жильем молодых семей»;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обновляется раздел по муниципальным программам Чамзинского района;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ведется раздел по обращениям граждан, поступившим в администрацию;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публикуются официальные выступления;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по разделу «Торги»;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по разделу «Бюджет для граждан»;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постоянно добавляется, обновляется информация в разделе «Информация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Росреестра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«Градостроительная деятельность Чамзинского муниципального района»;</w:t>
      </w:r>
    </w:p>
    <w:p w:rsidR="005653E6" w:rsidRPr="005653E6" w:rsidRDefault="005653E6" w:rsidP="005653E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«Конкурсы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653E6" w:rsidRPr="005653E6" w:rsidRDefault="005653E6" w:rsidP="005653E6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ведется раздел </w:t>
      </w:r>
      <w:hyperlink r:id="rId22" w:history="1">
        <w:r w:rsidRPr="005653E6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приоритетного проекта – «Формирование городской среды</w:t>
        </w:r>
      </w:hyperlink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из МФЦ;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ведется добавление информации для организаций в сфере ЖКХ;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постоянно добавляется, обновляется информация в разделе «Сельские поселения», в котором размещается информация о деятельности по каждому городскому/сельскому поселению;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так же на сайте размещен раздел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ссылкой на районную газету «Знамя»;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- постоянно добавляется, обновляется информация в разделе «Реестр муниципального имущества»;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ведется раздел «Сельское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хозяйство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» в котором размещается информация по АПК;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в целях повышения уровня информированности субъектов малого и среднего предпринимательства и потенциальных инвесторов ведутся разделы «Развитие и поддержка малого предпринимательства», «Инвестиционная деятельность  Чамзинского муниципального района» и  «Развитие конкуренции»;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ежегодно проводится </w:t>
      </w:r>
      <w:hyperlink r:id="rId23" w:history="1">
        <w:r w:rsidRPr="005653E6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  <w:lang w:eastAsia="ar-SA"/>
          </w:rPr>
          <w:t>оценка работы руководителей органов местного самоуправления</w:t>
        </w:r>
      </w:hyperlink>
      <w:r w:rsidRPr="005653E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.</w:t>
      </w:r>
    </w:p>
    <w:p w:rsidR="005653E6" w:rsidRPr="005653E6" w:rsidRDefault="005653E6" w:rsidP="005653E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Информация о принятых муниципальных нормативных и правовых актах публикуется в районной газете «Знамя», размещается в «Информационном бюллетене Чамзинского муниципального района». </w:t>
      </w:r>
    </w:p>
    <w:p w:rsidR="005653E6" w:rsidRPr="005653E6" w:rsidRDefault="00996200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2EBE915E" wp14:editId="5FDB82B0">
            <wp:simplePos x="0" y="0"/>
            <wp:positionH relativeFrom="column">
              <wp:posOffset>0</wp:posOffset>
            </wp:positionH>
            <wp:positionV relativeFrom="paragraph">
              <wp:posOffset>670560</wp:posOffset>
            </wp:positionV>
            <wp:extent cx="3714750" cy="2266950"/>
            <wp:effectExtent l="0" t="0" r="0" b="0"/>
            <wp:wrapSquare wrapText="bothSides"/>
            <wp:docPr id="10" name="Рисунок 4" descr="http://chamzinka.e-mordovia.ru/data/photo/P1060710_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http://chamzinka.e-mordovia.ru/data/photo/P1060710_(1)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53E6" w:rsidRPr="005653E6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Одним из главных критериев эффективности работы органов власти любого уровня</w:t>
      </w:r>
      <w:proofErr w:type="gramStart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="005653E6"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является качество предоставляемых государственных и муниципальных услуг. Организация многофункциональных центров – один из комплексных методов повышения качества и доступности государственных и муниципальных услуг</w:t>
      </w:r>
      <w:r w:rsidR="005653E6" w:rsidRPr="005653E6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  <w:r w:rsidRPr="00996200">
        <w:rPr>
          <w:noProof/>
          <w:lang w:eastAsia="ru-RU"/>
        </w:rPr>
        <w:t xml:space="preserve"> 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>По состоянию на 1 января 2019 года многофункциональным центром Чамзинского муниципального района оказывается 178 услуг, в 2017 году предоставлялось 160 услуг (+111,3% к уровню 2017 года), в том числе:  89   - госу</w:t>
      </w:r>
      <w:r w:rsidRPr="005653E6">
        <w:rPr>
          <w:rFonts w:ascii="Times New Roman" w:eastAsia="Calibri" w:hAnsi="Times New Roman" w:cs="Times New Roman"/>
          <w:sz w:val="28"/>
          <w:szCs w:val="28"/>
        </w:rPr>
        <w:softHyphen/>
        <w:t>дарственных (+111,3%), 64 - муниципальных услуг (+ 106,7%) и 25 дополнительных услуг (+119,1%). Центр работает по принципу «одного окна». Ежегодно проводится работа по расширению количества и повышению качества предоставляемых услуг.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bCs/>
          <w:sz w:val="28"/>
          <w:szCs w:val="28"/>
        </w:rPr>
        <w:t>В центры «</w:t>
      </w:r>
      <w:hyperlink r:id="rId25" w:tooltip="Мои Документы" w:history="1">
        <w:r w:rsidRPr="005653E6">
          <w:rPr>
            <w:rFonts w:ascii="Times New Roman" w:eastAsia="Calibri" w:hAnsi="Times New Roman" w:cs="Times New Roman"/>
            <w:bCs/>
            <w:sz w:val="28"/>
            <w:szCs w:val="28"/>
          </w:rPr>
          <w:t>Мои Документы</w:t>
        </w:r>
      </w:hyperlink>
      <w:r w:rsidRPr="005653E6">
        <w:rPr>
          <w:rFonts w:ascii="Times New Roman" w:eastAsia="Calibri" w:hAnsi="Times New Roman" w:cs="Times New Roman"/>
          <w:bCs/>
          <w:sz w:val="28"/>
          <w:szCs w:val="28"/>
        </w:rPr>
        <w:t>» за прошедший год поступило 43015 обращений, что на 119,1 % больше уровня 2017 года</w:t>
      </w:r>
      <w:r w:rsidRPr="005653E6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.</w:t>
      </w:r>
      <w:r w:rsidRPr="005653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Число обращений за: государственными услугами  составило 34692,  темп роста к уровню прошлого года составил  138,9%, муниципальными услугами - 3840 темп роста составил 90,5%, дополнительными услугами  - 4482, что больше уровня прошлого года на 114,4%.</w:t>
      </w:r>
    </w:p>
    <w:p w:rsidR="005653E6" w:rsidRPr="005653E6" w:rsidRDefault="005653E6" w:rsidP="005653E6">
      <w:pPr>
        <w:spacing w:after="0" w:line="240" w:lineRule="auto"/>
        <w:ind w:firstLine="708"/>
        <w:jc w:val="both"/>
        <w:textAlignment w:val="top"/>
        <w:rPr>
          <w:rFonts w:ascii="Calibri" w:eastAsia="Calibri" w:hAnsi="Calibri" w:cs="Times New Roman"/>
          <w:sz w:val="28"/>
          <w:szCs w:val="28"/>
        </w:rPr>
      </w:pP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Наиболее востребованными остаются услуги </w:t>
      </w:r>
      <w:proofErr w:type="spellStart"/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Росреестра</w:t>
      </w:r>
      <w:proofErr w:type="spellEnd"/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- 21356 обращений, Кадастровой палаты -7430 обращения, МВД - 2162 обращения, </w:t>
      </w:r>
      <w:r w:rsidRPr="005653E6">
        <w:rPr>
          <w:rFonts w:ascii="Times New Roman" w:eastAsia="Calibri" w:hAnsi="Times New Roman" w:cs="Times New Roman"/>
          <w:bCs/>
          <w:sz w:val="28"/>
          <w:szCs w:val="28"/>
        </w:rPr>
        <w:t>услуги Пенсионного Фонда -1478 обращений</w:t>
      </w:r>
      <w:r w:rsidRPr="005653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С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отрудники МФЦ приняли 482 комплекта документов по выдаче, замене паспортов гражданина Российской Федерации, 237 — по выдаче водительских удостоверений при замене, утрате (хищении), а также международных водительских прав. Выдано 338 справок о наличии (отсутствии) судимости и (или) факта уголовного преследования, либо о прекращении уголовного преследования. </w:t>
      </w:r>
      <w:r w:rsidRPr="005653E6">
        <w:rPr>
          <w:rFonts w:ascii="Times New Roman" w:eastAsia="Calibri" w:hAnsi="Times New Roman" w:cs="Times New Roman"/>
          <w:sz w:val="28"/>
          <w:szCs w:val="28"/>
        </w:rPr>
        <w:t>Также, граждане активно обращаются и получают услуги администрации Чамзинского муниципального района  и муниципальных образований - 3840 обращений.</w:t>
      </w:r>
      <w:r w:rsidRPr="005653E6">
        <w:rPr>
          <w:rFonts w:ascii="Calibri" w:eastAsia="Calibri" w:hAnsi="Calibri" w:cs="Times New Roman"/>
          <w:sz w:val="28"/>
          <w:szCs w:val="28"/>
        </w:rPr>
        <w:t>  </w:t>
      </w:r>
    </w:p>
    <w:p w:rsidR="005653E6" w:rsidRPr="005653E6" w:rsidRDefault="005653E6" w:rsidP="005653E6">
      <w:pPr>
        <w:spacing w:after="0" w:line="24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napToGrid w:val="0"/>
          <w:w w:val="1"/>
          <w:sz w:val="2"/>
          <w:szCs w:val="2"/>
          <w:bdr w:val="none" w:sz="0" w:space="0" w:color="auto" w:frame="1"/>
          <w:shd w:val="clear" w:color="auto" w:fill="000000"/>
          <w:lang w:eastAsia="x-none" w:bidi="x-none"/>
        </w:rPr>
      </w:pPr>
      <w:r w:rsidRPr="005653E6">
        <w:rPr>
          <w:rFonts w:ascii="Times New Roman" w:eastAsia="Arial Unicode MS" w:hAnsi="Times New Roman" w:cs="Times New Roman"/>
          <w:sz w:val="28"/>
          <w:szCs w:val="28"/>
          <w:lang w:eastAsia="ru-RU"/>
        </w:rPr>
        <w:t>Специалисты МФЦ осуществляют выезды в любой населенный пункт района для обслуживания льготной категории граждан на дому. За 2018 год осуществлено 30 выездов для оказания услуг на дому.</w:t>
      </w:r>
      <w:r w:rsidRPr="005653E6">
        <w:rPr>
          <w:rFonts w:ascii="Times New Roman" w:eastAsia="Times New Roman" w:hAnsi="Times New Roman" w:cs="Times New Roman"/>
          <w:snapToGrid w:val="0"/>
          <w:w w:val="1"/>
          <w:sz w:val="2"/>
          <w:szCs w:val="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5653E6" w:rsidRPr="005653E6" w:rsidRDefault="005653E6" w:rsidP="005653E6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 октября 2018 года </w:t>
      </w:r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>между МКУ «МФЦ»  и ПАО «Сбербанк» было подписано соглашение о сотрудничестве. Организации начали совместную работу в целях содействия развитию малого и среднего предпринимательства, а также повышения доступности и качества обслуживания клиентов.</w:t>
      </w:r>
    </w:p>
    <w:p w:rsidR="005653E6" w:rsidRPr="005653E6" w:rsidRDefault="005653E6" w:rsidP="005653E6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>Сотрудничество МФЦ и Сбербанка  позволило предпринимателям получать государственные и финансовые услуги в одном месте и в одно время. Реализация принципа «одного окна», несомненно, поможет бизнесменам облегчить процесс оформления большинства необходимых документов для открытия, ведения или расширения своего дела.</w:t>
      </w:r>
    </w:p>
    <w:p w:rsidR="005653E6" w:rsidRPr="005653E6" w:rsidRDefault="005653E6" w:rsidP="005653E6">
      <w:pPr>
        <w:spacing w:after="0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653E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Создать и зарегистрировать собственный  бизнес теперь в разы проще. Главная задача МФЦ в этом направлении - максимальная помощь будущим предпринимателям и их комплексное обслуживание. Пришел в МФЦ зарегистрировал свое предприятие, тут же подал заявку на открытие расчетного счета для ведения бизнеса. За 2018 год было подано 5 заявок. </w:t>
      </w:r>
    </w:p>
    <w:p w:rsidR="005653E6" w:rsidRPr="005653E6" w:rsidRDefault="005653E6" w:rsidP="005653E6">
      <w:pPr>
        <w:suppressAutoHyphens/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53E6">
        <w:rPr>
          <w:rFonts w:ascii="Times New Roman" w:eastAsia="Calibri" w:hAnsi="Times New Roman" w:cs="Times New Roman"/>
          <w:sz w:val="28"/>
          <w:szCs w:val="28"/>
        </w:rPr>
        <w:t>С целью популяризации услуг центра, а также использования электронного правительства, специалистами МФЦ проводятся тематические встречи, презентации,  осуществляются публикации и разъяснения в местной газете «Знамя» и сети интернет на базе сайта Администрации Чамзинского муниципального района.</w:t>
      </w:r>
    </w:p>
    <w:p w:rsidR="005653E6" w:rsidRPr="005653E6" w:rsidRDefault="005653E6" w:rsidP="005653E6">
      <w:pPr>
        <w:suppressAutoHyphens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 целом деятельность органов муниципальной власти на период 2019-2021 годов будет направлена на повышение роли в общественной и экономической жизни района.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11. Энергосбережение и повышение энергетической эффективности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Федеральным законом «Об энергосбережении повышении энергетической эффективности и о внесении изменений в отдельные законодательные акты Российской Федерации» от 23 ноября 2009 года №261-ФЗ, администрация Чамзинского муниципального района разработала и утвердила Постановлением Главы администрации от 31.08.2015 года №747 Муниципальную целевую программу «Энергосбережение и повышение энергетической эффективности в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Чамзинском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муниципальном районе» на 2016-2020годы.</w:t>
      </w:r>
      <w:proofErr w:type="gramEnd"/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-90, горячей воды- 51, тепловой энергии -80, электрической энергии – 223 единицы. Оснащенность индивидуальными приборами учета жилых помещений в многоквартирных домах составляет по холодной воде-100%, по горячей воде – 100%, по электроэнергии –100%. Значительно уменьшилась удельная величина потребления энергетических ресурсов муниципальными бюджетными учреждениями за счет установки приборов учета.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Во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всех поселениях, имеющих централизованное тепло-водоснабжение и водоотведение разработаны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утверждены схемы инженерной инфраструктуры. Оформлены в собственность объекты теплоснабжения.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Удельная величина потребления энергетических ресурсов в многоквартирных домах составила: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499 – показатель сохранен на уровне 2017 года. На последующие  2019-2021 годы планируется   довести до 484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Квт.ч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5653E6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Уменьшение  удельной величины потребления электроэнергии за счет уменьшения потребления ОДН в связи с установкой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современных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ИПУ с применением АСКУЕ.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- тепловая энергия (Гкал на 1кв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площади) 0,11.  Удельная величина потребления теплоснабжения в многоквартирных домах в 2018 году осталась на уровне 2017г.  На последующие годы планируется понижение - в 2021г.- до 0,10 Гкал на 1кв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горячая вода (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spellEnd"/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проживающего) 11,05. Понижение удельной величины по сравнению с 2017 годом на 8%. На последующие годы планируется понижение показателя: в 2021 г. довести до 10,08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куб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spellEnd"/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проживающего;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холодная вода (куб. м на 1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проживающего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) 26,8. Удельная величина потребления холодного водоснабжения в многоквартирных домах в 2018 году сохранена на уровне 2017 года.  На последующие годы планируется понижение    - в 2021 г. довести до 24,4;  с установкой приборов учета и уменьшением ОДН.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природный газ (куб. м на 1 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проживающего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) 308. Удельная величина потребления природного газа  в многоквартирных домах в 2018 году уменьшилась на 6%, за счет проведенных энергосберегающих мероприятий и из-за погодных условий.  На последующие годы планируется дальнейшее понижение - в 202 г.- 281 куб. м на 1 проживающего.</w:t>
      </w:r>
    </w:p>
    <w:p w:rsidR="005653E6" w:rsidRPr="005653E6" w:rsidRDefault="005653E6" w:rsidP="005653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Удельная величина потребления энергетических ресурсов муниципальными бюджетными учреждениями имеет убывающую динамику:  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человека населения) 41,6, увеличение удельной величины потребления электроэнергии бюджетными учреждениями на 3,7%.</w:t>
      </w:r>
      <w:r w:rsidRPr="005653E6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Увеличение показателя в расчете на 1челоека связано с уменьшением численности населения. а также с установкой дополнительных точек уличного освещения на территории образовательных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учреждениий</w:t>
      </w:r>
      <w:proofErr w:type="spell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детских садов и установкой систем видеонаблюдения.</w:t>
      </w:r>
      <w:r w:rsidRPr="005653E6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последующие годы планируется понижение -  в 2021 г.- до 37,8 </w:t>
      </w:r>
      <w:proofErr w:type="spell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Квт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.ч</w:t>
      </w:r>
      <w:proofErr w:type="spellEnd"/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1 человека населения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тепловая энергия (Гкал на 1кв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площади) в 2018 составила 0,120. Уменьшение удельной величины потребления тепловой энергии бюджетными учреждениями по сравнению с 2017 годом на 10,8%, экономия образовалась за счет проведенных энергосберегающих мероприятий и из-за погодных условий. На последующие годы планируется понижение - в 2021г. - 0,109 Гкал на 1кв</w:t>
      </w:r>
      <w:proofErr w:type="gramStart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.м</w:t>
      </w:r>
      <w:proofErr w:type="gramEnd"/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общей площади;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горячая вода (куб. м на 1человека населения) в 2018 г. составила 0,144; .  Увеличение удельной величины потребления горячего водоснабжения  в муниципальных бюджетных учреждениях  по сравнению с 2017 годом   на 6%  связано с увеличением классов-комплектов в школах, проведение государственной итоговой аттестации на базе МБОУ Комсомольская СОШ №2 для пяти близлежащих районов.   На </w:t>
      </w: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последующие годы планируется понижение: в 2021г — до 0,131 куб. м на 1человека населения;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холодная вода (куб. м на 1человека населения) в 2018 г. составила 1,24 Увеличение удельной величины потребления холодного водоснабжения  в муниципальных бюджетных учреждениях  по сравнению с 2017 годом   на 5%  связано с увеличением классов-комплектов в школах, проведение государственной итоговой аттестации на базе МБОУ Комсомольская СОШ №2 для пяти близлежащих районов.   На последующие годы планируется понижение: в 2021г — до 1,15куб. м на 1человека населения;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53E6">
        <w:rPr>
          <w:rFonts w:ascii="Times New Roman" w:eastAsia="Times New Roman" w:hAnsi="Times New Roman" w:cs="Times New Roman"/>
          <w:sz w:val="28"/>
          <w:szCs w:val="28"/>
          <w:lang w:eastAsia="ar-SA"/>
        </w:rPr>
        <w:t>- природный газ (куб. м на 1 человека населения) в 2018 г.-20,5.  Уменьшение удельной величины потребления газа бюджетными учреждениями по сравнению с 2017 годом на 21%, экономия образовалась за счет проведенных энергосберегающих мероприятий и из-за погодных условий.  На последующие годы планируется дальнейшее понижение: к 2021 г. до 18,7 куб. м на 1 человека населения.</w:t>
      </w:r>
    </w:p>
    <w:p w:rsidR="005653E6" w:rsidRPr="005653E6" w:rsidRDefault="005653E6" w:rsidP="005653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12. Проведение независимой </w:t>
      </w:r>
      <w:proofErr w:type="gramStart"/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5653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организациями в сферах культуры, охраны здоровья, образования  и социального обслуживания</w:t>
      </w:r>
    </w:p>
    <w:p w:rsidR="005653E6" w:rsidRPr="005653E6" w:rsidRDefault="005653E6" w:rsidP="005653E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независимой </w:t>
      </w:r>
      <w:proofErr w:type="gramStart"/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оценки качества условий оказания услуг</w:t>
      </w:r>
      <w:proofErr w:type="gramEnd"/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муниципальными организациями в сферах культуры, образования,  расположенными на территории Чамзинского  муниципального района и оказывающими услуги в указанных сферах за счет бюджетных ассигнований бюджета Чамзинского муниципального района (для размещения информации о государственных и муниципальных учреждениях в информационно-телекоммуникационной сети «Интернет») выглядят следующим образом:</w:t>
      </w:r>
    </w:p>
    <w:p w:rsidR="005653E6" w:rsidRPr="005653E6" w:rsidRDefault="005653E6" w:rsidP="005653E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культуры за 2017 г. -112,6 баллов, на 2020 год планируется- 112,7 балла.</w:t>
      </w:r>
    </w:p>
    <w:p w:rsidR="005653E6" w:rsidRPr="005653E6" w:rsidRDefault="005653E6" w:rsidP="005653E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8" w:after="108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color w:val="943634"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образовани</w:t>
      </w:r>
      <w:proofErr w:type="gramStart"/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5653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 2016 год 104,9 балла, за 2017 год-106,72 балла, за 2018 г.- 118,78 балла, на 2019 г. планируется -118,8 баллов, на 2020 г.-118,85 баллов, на 2021г.-118,9 баллов.</w:t>
      </w: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Подпись ______________</w:t>
      </w:r>
      <w:proofErr w:type="gramStart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proofErr w:type="gramEnd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В.Г.Цыбаков</w:t>
      </w:r>
      <w:proofErr w:type="spellEnd"/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 </w:t>
      </w:r>
    </w:p>
    <w:p w:rsidR="005653E6" w:rsidRPr="005653E6" w:rsidRDefault="005653E6" w:rsidP="005653E6">
      <w:pPr>
        <w:widowControl w:val="0"/>
        <w:autoSpaceDE w:val="0"/>
        <w:autoSpaceDN w:val="0"/>
        <w:adjustRightInd w:val="0"/>
        <w:spacing w:after="0"/>
        <w:ind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653E6" w:rsidRDefault="005653E6" w:rsidP="005653E6">
      <w:pPr>
        <w:jc w:val="right"/>
      </w:pPr>
      <w:r w:rsidRPr="005653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 апреля 2019г</w:t>
      </w:r>
    </w:p>
    <w:sectPr w:rsidR="005653E6" w:rsidSect="005653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14"/>
        </w:tabs>
        <w:ind w:left="1114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68"/>
        </w:tabs>
        <w:ind w:left="1868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22"/>
        </w:tabs>
        <w:ind w:left="2622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376"/>
        </w:tabs>
        <w:ind w:left="3376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30"/>
        </w:tabs>
        <w:ind w:left="413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884"/>
        </w:tabs>
        <w:ind w:left="4884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638"/>
        </w:tabs>
        <w:ind w:left="5638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392"/>
        </w:tabs>
        <w:ind w:left="6392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3823100"/>
    <w:multiLevelType w:val="hybridMultilevel"/>
    <w:tmpl w:val="7BEA5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C444BF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975FC5"/>
    <w:multiLevelType w:val="hybridMultilevel"/>
    <w:tmpl w:val="A05A36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38437B4"/>
    <w:multiLevelType w:val="multilevel"/>
    <w:tmpl w:val="8A72DA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24E52181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24186C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D22F17"/>
    <w:multiLevelType w:val="multilevel"/>
    <w:tmpl w:val="9A703AC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0">
    <w:nsid w:val="29BF2C27"/>
    <w:multiLevelType w:val="multilevel"/>
    <w:tmpl w:val="384C0CB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1">
    <w:nsid w:val="2CB97250"/>
    <w:multiLevelType w:val="hybridMultilevel"/>
    <w:tmpl w:val="30929F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4514BF4"/>
    <w:multiLevelType w:val="singleLevel"/>
    <w:tmpl w:val="2FFACFC4"/>
    <w:lvl w:ilvl="0">
      <w:start w:val="8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3">
    <w:nsid w:val="35070979"/>
    <w:multiLevelType w:val="hybridMultilevel"/>
    <w:tmpl w:val="C5F0F9B2"/>
    <w:lvl w:ilvl="0" w:tplc="1D303E5C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>
    <w:nsid w:val="3E6F6FAC"/>
    <w:multiLevelType w:val="hybridMultilevel"/>
    <w:tmpl w:val="96C46ED6"/>
    <w:lvl w:ilvl="0" w:tplc="8A902924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E842A3D"/>
    <w:multiLevelType w:val="hybridMultilevel"/>
    <w:tmpl w:val="576E83CA"/>
    <w:lvl w:ilvl="0" w:tplc="148EE8B0">
      <w:start w:val="18"/>
      <w:numFmt w:val="decimal"/>
      <w:lvlText w:val="%1."/>
      <w:lvlJc w:val="left"/>
      <w:pPr>
        <w:ind w:left="111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696F16D3"/>
    <w:multiLevelType w:val="hybridMultilevel"/>
    <w:tmpl w:val="90EC33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6"/>
  </w:num>
  <w:num w:numId="5">
    <w:abstractNumId w:val="6"/>
  </w:num>
  <w:num w:numId="6">
    <w:abstractNumId w:val="9"/>
  </w:num>
  <w:num w:numId="7">
    <w:abstractNumId w:val="10"/>
  </w:num>
  <w:num w:numId="8">
    <w:abstractNumId w:val="7"/>
  </w:num>
  <w:num w:numId="9">
    <w:abstractNumId w:val="11"/>
  </w:num>
  <w:num w:numId="10">
    <w:abstractNumId w:val="8"/>
  </w:num>
  <w:num w:numId="11">
    <w:abstractNumId w:val="4"/>
  </w:num>
  <w:num w:numId="12">
    <w:abstractNumId w:val="14"/>
  </w:num>
  <w:num w:numId="13">
    <w:abstractNumId w:val="13"/>
  </w:num>
  <w:num w:numId="14">
    <w:abstractNumId w:val="15"/>
  </w:num>
  <w:num w:numId="15">
    <w:abstractNumId w:val="12"/>
  </w:num>
  <w:num w:numId="16">
    <w:abstractNumId w:val="3"/>
  </w:num>
  <w:num w:numId="17">
    <w:abstractNumId w:val="0"/>
  </w:num>
  <w:num w:numId="18">
    <w:abstractNumId w:val="1"/>
  </w:num>
  <w:num w:numId="19">
    <w:abstractNumId w:val="2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3E6"/>
    <w:rsid w:val="0027192B"/>
    <w:rsid w:val="00422DC4"/>
    <w:rsid w:val="005653E6"/>
    <w:rsid w:val="006A0C6F"/>
    <w:rsid w:val="006C6EC7"/>
    <w:rsid w:val="006D52BD"/>
    <w:rsid w:val="007B51FC"/>
    <w:rsid w:val="007C5523"/>
    <w:rsid w:val="00967DF3"/>
    <w:rsid w:val="00996200"/>
    <w:rsid w:val="00A74815"/>
    <w:rsid w:val="00BA5DE6"/>
    <w:rsid w:val="00BB0D39"/>
    <w:rsid w:val="00BD64B9"/>
    <w:rsid w:val="00E6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8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9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a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653E6"/>
    <w:pPr>
      <w:widowControl w:val="0"/>
      <w:numPr>
        <w:numId w:val="1"/>
      </w:numPr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56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653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653E6"/>
    <w:rPr>
      <w:rFonts w:ascii="Arial" w:eastAsia="Times New Roman" w:hAnsi="Arial" w:cs="Arial"/>
      <w:b/>
      <w:bCs/>
      <w:color w:val="000080"/>
      <w:sz w:val="20"/>
      <w:szCs w:val="20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5653E6"/>
  </w:style>
  <w:style w:type="character" w:customStyle="1" w:styleId="WW8Num1z0">
    <w:name w:val="WW8Num1z0"/>
    <w:rsid w:val="005653E6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5653E6"/>
    <w:rPr>
      <w:rFonts w:ascii="Symbol" w:hAnsi="Symbol" w:cs="Symbol"/>
      <w:sz w:val="20"/>
    </w:rPr>
  </w:style>
  <w:style w:type="character" w:customStyle="1" w:styleId="WW8Num3z1">
    <w:name w:val="WW8Num3z1"/>
    <w:rsid w:val="005653E6"/>
    <w:rPr>
      <w:rFonts w:ascii="Courier New" w:hAnsi="Courier New" w:cs="Courier New"/>
      <w:sz w:val="20"/>
    </w:rPr>
  </w:style>
  <w:style w:type="character" w:customStyle="1" w:styleId="WW8Num3z2">
    <w:name w:val="WW8Num3z2"/>
    <w:rsid w:val="005653E6"/>
    <w:rPr>
      <w:rFonts w:ascii="Wingdings" w:hAnsi="Wingdings" w:cs="Wingdings"/>
      <w:sz w:val="20"/>
    </w:rPr>
  </w:style>
  <w:style w:type="character" w:customStyle="1" w:styleId="WW8Num4z0">
    <w:name w:val="WW8Num4z0"/>
    <w:rsid w:val="005653E6"/>
    <w:rPr>
      <w:rFonts w:ascii="Symbol" w:hAnsi="Symbol" w:cs="Symbol"/>
    </w:rPr>
  </w:style>
  <w:style w:type="character" w:customStyle="1" w:styleId="WW8Num4z1">
    <w:name w:val="WW8Num4z1"/>
    <w:rsid w:val="005653E6"/>
    <w:rPr>
      <w:rFonts w:ascii="Courier New" w:hAnsi="Courier New" w:cs="Courier New"/>
    </w:rPr>
  </w:style>
  <w:style w:type="character" w:customStyle="1" w:styleId="WW8Num4z2">
    <w:name w:val="WW8Num4z2"/>
    <w:rsid w:val="005653E6"/>
    <w:rPr>
      <w:rFonts w:ascii="Wingdings" w:hAnsi="Wingdings" w:cs="Wingdings"/>
    </w:rPr>
  </w:style>
  <w:style w:type="character" w:customStyle="1" w:styleId="WW8Num5z0">
    <w:name w:val="WW8Num5z0"/>
    <w:rsid w:val="005653E6"/>
    <w:rPr>
      <w:rFonts w:ascii="Symbol" w:hAnsi="Symbol" w:cs="Symbol"/>
      <w:sz w:val="20"/>
    </w:rPr>
  </w:style>
  <w:style w:type="character" w:customStyle="1" w:styleId="WW8Num5z1">
    <w:name w:val="WW8Num5z1"/>
    <w:rsid w:val="005653E6"/>
    <w:rPr>
      <w:rFonts w:ascii="Courier New" w:hAnsi="Courier New" w:cs="Courier New"/>
      <w:sz w:val="20"/>
    </w:rPr>
  </w:style>
  <w:style w:type="character" w:customStyle="1" w:styleId="WW8Num5z2">
    <w:name w:val="WW8Num5z2"/>
    <w:rsid w:val="005653E6"/>
    <w:rPr>
      <w:rFonts w:ascii="Wingdings" w:hAnsi="Wingdings" w:cs="Wingdings"/>
      <w:sz w:val="20"/>
    </w:rPr>
  </w:style>
  <w:style w:type="character" w:customStyle="1" w:styleId="12">
    <w:name w:val="Основной шрифт абзаца1"/>
    <w:rsid w:val="005653E6"/>
  </w:style>
  <w:style w:type="character" w:styleId="a5">
    <w:name w:val="page number"/>
    <w:basedOn w:val="12"/>
    <w:rsid w:val="005653E6"/>
  </w:style>
  <w:style w:type="character" w:customStyle="1" w:styleId="a6">
    <w:name w:val="Обычный (веб) Знак"/>
    <w:rsid w:val="005653E6"/>
    <w:rPr>
      <w:sz w:val="24"/>
      <w:szCs w:val="24"/>
      <w:lang w:val="ru-RU" w:eastAsia="ar-SA" w:bidi="ar-SA"/>
    </w:rPr>
  </w:style>
  <w:style w:type="character" w:styleId="a7">
    <w:name w:val="Hyperlink"/>
    <w:rsid w:val="005653E6"/>
    <w:rPr>
      <w:rFonts w:cs="Times New Roman"/>
      <w:color w:val="0000FF"/>
      <w:u w:val="single"/>
    </w:rPr>
  </w:style>
  <w:style w:type="character" w:styleId="a8">
    <w:name w:val="Strong"/>
    <w:uiPriority w:val="99"/>
    <w:qFormat/>
    <w:rsid w:val="005653E6"/>
    <w:rPr>
      <w:b/>
      <w:bCs/>
    </w:rPr>
  </w:style>
  <w:style w:type="character" w:customStyle="1" w:styleId="FontStyle158">
    <w:name w:val="Font Style158"/>
    <w:rsid w:val="005653E6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68">
    <w:name w:val="Font Style168"/>
    <w:rsid w:val="005653E6"/>
    <w:rPr>
      <w:rFonts w:ascii="Times New Roman" w:hAnsi="Times New Roman" w:cs="Times New Roman"/>
      <w:sz w:val="26"/>
      <w:szCs w:val="26"/>
    </w:rPr>
  </w:style>
  <w:style w:type="character" w:customStyle="1" w:styleId="a9">
    <w:name w:val="Гипертекстовая ссылка"/>
    <w:uiPriority w:val="99"/>
    <w:rsid w:val="005653E6"/>
    <w:rPr>
      <w:color w:val="106BBE"/>
    </w:rPr>
  </w:style>
  <w:style w:type="character" w:customStyle="1" w:styleId="aa">
    <w:name w:val="Маркеры списка"/>
    <w:rsid w:val="005653E6"/>
    <w:rPr>
      <w:rFonts w:ascii="OpenSymbol" w:eastAsia="OpenSymbol" w:hAnsi="OpenSymbol" w:cs="OpenSymbol"/>
    </w:rPr>
  </w:style>
  <w:style w:type="paragraph" w:customStyle="1" w:styleId="ab">
    <w:name w:val="Заголовок"/>
    <w:basedOn w:val="a"/>
    <w:next w:val="ac"/>
    <w:rsid w:val="005653E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c">
    <w:name w:val="Body Text"/>
    <w:basedOn w:val="a"/>
    <w:link w:val="ad"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d">
    <w:name w:val="Основной текст Знак"/>
    <w:basedOn w:val="a0"/>
    <w:link w:val="ac"/>
    <w:rsid w:val="005653E6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e">
    <w:name w:val="Title"/>
    <w:basedOn w:val="ab"/>
    <w:next w:val="af"/>
    <w:link w:val="af0"/>
    <w:qFormat/>
    <w:rsid w:val="005653E6"/>
  </w:style>
  <w:style w:type="character" w:customStyle="1" w:styleId="af0">
    <w:name w:val="Название Знак"/>
    <w:basedOn w:val="a0"/>
    <w:link w:val="ae"/>
    <w:rsid w:val="005653E6"/>
    <w:rPr>
      <w:rFonts w:ascii="Arial" w:eastAsia="Microsoft YaHei" w:hAnsi="Arial" w:cs="Mangal"/>
      <w:sz w:val="28"/>
      <w:szCs w:val="28"/>
      <w:lang w:eastAsia="ar-SA"/>
    </w:rPr>
  </w:style>
  <w:style w:type="paragraph" w:styleId="af">
    <w:name w:val="Subtitle"/>
    <w:basedOn w:val="ab"/>
    <w:next w:val="ac"/>
    <w:link w:val="af1"/>
    <w:qFormat/>
    <w:rsid w:val="005653E6"/>
    <w:pPr>
      <w:jc w:val="center"/>
    </w:pPr>
    <w:rPr>
      <w:i/>
      <w:iCs/>
    </w:rPr>
  </w:style>
  <w:style w:type="character" w:customStyle="1" w:styleId="af1">
    <w:name w:val="Подзаголовок Знак"/>
    <w:basedOn w:val="a0"/>
    <w:link w:val="af"/>
    <w:rsid w:val="005653E6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af2">
    <w:name w:val="List"/>
    <w:basedOn w:val="ac"/>
    <w:rsid w:val="005653E6"/>
    <w:rPr>
      <w:rFonts w:cs="Mangal"/>
    </w:rPr>
  </w:style>
  <w:style w:type="paragraph" w:customStyle="1" w:styleId="13">
    <w:name w:val="Название1"/>
    <w:basedOn w:val="a"/>
    <w:rsid w:val="005653E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0"/>
      <w:szCs w:val="20"/>
      <w:lang w:eastAsia="ar-SA"/>
    </w:rPr>
  </w:style>
  <w:style w:type="paragraph" w:styleId="af3">
    <w:name w:val="header"/>
    <w:basedOn w:val="a"/>
    <w:link w:val="af4"/>
    <w:rsid w:val="005653E6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4">
    <w:name w:val="Верхний колонтитул Знак"/>
    <w:basedOn w:val="a0"/>
    <w:link w:val="af3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0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5">
    <w:name w:val="Body Text Indent"/>
    <w:basedOn w:val="a"/>
    <w:link w:val="af6"/>
    <w:rsid w:val="005653E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6">
    <w:name w:val="Основной текст с отступом Знак"/>
    <w:basedOn w:val="a0"/>
    <w:link w:val="af5"/>
    <w:rsid w:val="005653E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Cell">
    <w:name w:val="ConsCell"/>
    <w:rsid w:val="005653E6"/>
    <w:pPr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5653E6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7">
    <w:name w:val="Normal (Web)"/>
    <w:basedOn w:val="a"/>
    <w:uiPriority w:val="99"/>
    <w:rsid w:val="005653E6"/>
    <w:pPr>
      <w:suppressAutoHyphens/>
      <w:spacing w:before="280" w:after="280" w:line="225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reformatted">
    <w:name w:val="Preformatted"/>
    <w:basedOn w:val="a"/>
    <w:rsid w:val="005653E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  <w:spacing w:after="0" w:line="36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f8">
    <w:name w:val="footer"/>
    <w:basedOn w:val="a"/>
    <w:link w:val="af9"/>
    <w:uiPriority w:val="99"/>
    <w:rsid w:val="005653E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af9">
    <w:name w:val="Нижний колонтитул Знак"/>
    <w:basedOn w:val="a0"/>
    <w:link w:val="af8"/>
    <w:uiPriority w:val="99"/>
    <w:rsid w:val="005653E6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customStyle="1" w:styleId="afa">
    <w:name w:val="Прижатый влево"/>
    <w:basedOn w:val="a"/>
    <w:next w:val="a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ConsPlusNormal">
    <w:name w:val="ConsPlusNormal"/>
    <w:rsid w:val="005653E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5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western">
    <w:name w:val="western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6">
    <w:name w:val="Знак1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7">
    <w:name w:val="Знак1 Знак Знак Знак Знак Знак"/>
    <w:basedOn w:val="a"/>
    <w:rsid w:val="005653E6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18">
    <w:name w:val="Знак1 Знак Знак Знак Знак Знак Знак Знак Знак Знак"/>
    <w:basedOn w:val="a"/>
    <w:next w:val="a"/>
    <w:rsid w:val="005653E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customStyle="1" w:styleId="barcode0">
    <w:name w:val="barcode0"/>
    <w:basedOn w:val="a"/>
    <w:rsid w:val="005653E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5653E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1">
    <w:name w:val="Знак1 Знак Знак Знак1"/>
    <w:basedOn w:val="a"/>
    <w:rsid w:val="005653E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ar-SA"/>
    </w:rPr>
  </w:style>
  <w:style w:type="paragraph" w:styleId="afb">
    <w:name w:val="List Paragraph"/>
    <w:basedOn w:val="a"/>
    <w:qFormat/>
    <w:rsid w:val="005653E6"/>
    <w:pPr>
      <w:suppressAutoHyphens/>
      <w:ind w:left="720"/>
    </w:pPr>
    <w:rPr>
      <w:rFonts w:ascii="Times New Roman" w:eastAsia="Calibri" w:hAnsi="Times New Roman" w:cs="Times New Roman"/>
      <w:color w:val="000000"/>
      <w:sz w:val="21"/>
      <w:szCs w:val="21"/>
      <w:lang w:eastAsia="ar-SA"/>
    </w:rPr>
  </w:style>
  <w:style w:type="paragraph" w:customStyle="1" w:styleId="Style2">
    <w:name w:val="Style2"/>
    <w:basedOn w:val="a"/>
    <w:rsid w:val="005653E6"/>
    <w:pPr>
      <w:widowControl w:val="0"/>
      <w:suppressAutoHyphens/>
      <w:autoSpaceDE w:val="0"/>
      <w:spacing w:after="0" w:line="496" w:lineRule="exact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62">
    <w:name w:val="Style62"/>
    <w:basedOn w:val="a"/>
    <w:rsid w:val="005653E6"/>
    <w:pPr>
      <w:widowControl w:val="0"/>
      <w:suppressAutoHyphens/>
      <w:autoSpaceDE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c">
    <w:name w:val="Содержимое таблицы"/>
    <w:basedOn w:val="a"/>
    <w:rsid w:val="005653E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d">
    <w:name w:val="Заголовок таблицы"/>
    <w:basedOn w:val="afc"/>
    <w:rsid w:val="005653E6"/>
    <w:pPr>
      <w:jc w:val="center"/>
    </w:pPr>
    <w:rPr>
      <w:b/>
      <w:bCs/>
    </w:rPr>
  </w:style>
  <w:style w:type="paragraph" w:customStyle="1" w:styleId="afe">
    <w:name w:val="Содержимое врезки"/>
    <w:basedOn w:val="ac"/>
    <w:rsid w:val="005653E6"/>
  </w:style>
  <w:style w:type="paragraph" w:customStyle="1" w:styleId="Standard">
    <w:name w:val="Standard"/>
    <w:qFormat/>
    <w:rsid w:val="005653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ru-RU"/>
    </w:rPr>
  </w:style>
  <w:style w:type="paragraph" w:customStyle="1" w:styleId="aff">
    <w:name w:val="Нормальный (таблица)"/>
    <w:basedOn w:val="a"/>
    <w:next w:val="a"/>
    <w:uiPriority w:val="99"/>
    <w:rsid w:val="005653E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f0">
    <w:name w:val="Table Grid"/>
    <w:basedOn w:val="a1"/>
    <w:rsid w:val="00565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Таблица"/>
    <w:basedOn w:val="a"/>
    <w:qFormat/>
    <w:rsid w:val="005653E6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9">
    <w:name w:val="Без интервала1"/>
    <w:uiPriority w:val="99"/>
    <w:rsid w:val="005653E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customStyle="1" w:styleId="1a">
    <w:name w:val="Абзац списка1"/>
    <w:basedOn w:val="a"/>
    <w:rsid w:val="005653E6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f">
    <w:name w:val="f_основнойтекст"/>
    <w:rsid w:val="005653E6"/>
    <w:rPr>
      <w:rFonts w:ascii="Times New Roman" w:hAnsi="Times New Roman" w:cs="Times New Roman"/>
    </w:rPr>
  </w:style>
  <w:style w:type="character" w:customStyle="1" w:styleId="fee">
    <w:name w:val="f_маркeрованныйлeст"/>
    <w:rsid w:val="005653E6"/>
    <w:rPr>
      <w:rFonts w:ascii="Times New Roman" w:hAnsi="Times New Roman" w:cs="Times New Roman"/>
    </w:rPr>
  </w:style>
  <w:style w:type="paragraph" w:styleId="aff2">
    <w:name w:val="No Spacing"/>
    <w:uiPriority w:val="1"/>
    <w:qFormat/>
    <w:rsid w:val="005653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?id=71749506&amp;sub=1000" TargetMode="Externa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://lipeck.bezformata.ru/word/moi-dokumenti/802652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internet.garant.ru/document?id=71749506&amp;sub=100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yperlink" Target="http://chamzinka.e-mordovia.ru/content/view/3457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hyperlink" Target="http://chamzinka.e-mordovia.ru/newsline/view/465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32</Pages>
  <Words>13275</Words>
  <Characters>75672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2</cp:lastModifiedBy>
  <cp:revision>3</cp:revision>
  <dcterms:created xsi:type="dcterms:W3CDTF">2019-04-26T08:11:00Z</dcterms:created>
  <dcterms:modified xsi:type="dcterms:W3CDTF">2019-04-26T10:04:00Z</dcterms:modified>
</cp:coreProperties>
</file>