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          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E69E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декабря  2018 г. № </w:t>
      </w:r>
      <w:r w:rsidR="00AE69EF">
        <w:rPr>
          <w:rFonts w:ascii="Times New Roman" w:eastAsia="Times New Roman" w:hAnsi="Times New Roman" w:cs="Times New Roman"/>
          <w:sz w:val="28"/>
          <w:szCs w:val="28"/>
          <w:lang w:eastAsia="ru-RU"/>
        </w:rPr>
        <w:t>836</w:t>
      </w: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Муниципальная программа </w:t>
      </w:r>
    </w:p>
    <w:p w:rsidR="0025780B" w:rsidRP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«Экономическое развитие  Чамзинского муниципального района </w:t>
      </w:r>
    </w:p>
    <w:p w:rsidR="0025780B" w:rsidRP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до 2025 года»</w:t>
      </w: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.Ч</w:t>
      </w:r>
      <w:proofErr w:type="gramEnd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амзинка</w:t>
      </w:r>
      <w:proofErr w:type="spellEnd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2018г.</w:t>
      </w: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</w:t>
      </w:r>
    </w:p>
    <w:p w:rsidR="0025780B" w:rsidRPr="00CC272F" w:rsidRDefault="0025780B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программы Чамзинского муниципального района 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Экономическое развитие  Чамзинского муниципального района </w:t>
      </w:r>
    </w:p>
    <w:p w:rsidR="0025780B" w:rsidRPr="00CC272F" w:rsidRDefault="0025780B" w:rsidP="00CC272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2025 года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9"/>
        <w:gridCol w:w="7088"/>
      </w:tblGrid>
      <w:tr w:rsidR="0025780B" w:rsidRPr="00CC272F" w:rsidTr="003E7462">
        <w:trPr>
          <w:trHeight w:val="591"/>
        </w:trPr>
        <w:tc>
          <w:tcPr>
            <w:tcW w:w="3119" w:type="dxa"/>
            <w:tcBorders>
              <w:bottom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развитие Чамзинского муниципального района до 2025 года</w:t>
            </w:r>
            <w:r w:rsidRPr="00CC27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- Программа)</w:t>
            </w:r>
          </w:p>
        </w:tc>
      </w:tr>
      <w:tr w:rsidR="0025780B" w:rsidRPr="00CC272F" w:rsidTr="003E7462">
        <w:trPr>
          <w:trHeight w:val="656"/>
        </w:trPr>
        <w:tc>
          <w:tcPr>
            <w:tcW w:w="3119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Чамзинского муниципального района </w:t>
            </w:r>
          </w:p>
        </w:tc>
      </w:tr>
      <w:tr w:rsidR="0025780B" w:rsidRPr="00CC272F" w:rsidTr="003E7462">
        <w:trPr>
          <w:trHeight w:val="278"/>
        </w:trPr>
        <w:tc>
          <w:tcPr>
            <w:tcW w:w="3119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муниципальной программы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Структурные подразделения администрации Чамзинского муниципального района: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экономики и прогнозирования;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Чамзинского муниципального района:</w:t>
            </w:r>
          </w:p>
          <w:p w:rsidR="0025780B" w:rsidRPr="00CC272F" w:rsidRDefault="0025780B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управление.</w:t>
            </w:r>
          </w:p>
          <w:p w:rsidR="0025780B" w:rsidRPr="00CC272F" w:rsidRDefault="0025780B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городских и сельских поселений.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="00365E98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7088" w:type="dxa"/>
          </w:tcPr>
          <w:p w:rsidR="0025780B" w:rsidRPr="00CC272F" w:rsidRDefault="00365E98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обеспечения устойчивого роста экономики и улучшения инвестиционной привлекательности муниципального образования</w:t>
            </w:r>
            <w:r w:rsidR="0025780B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7088" w:type="dxa"/>
          </w:tcPr>
          <w:p w:rsidR="0025780B" w:rsidRPr="00CC272F" w:rsidRDefault="00365E98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sz w:val="24"/>
                <w:szCs w:val="24"/>
              </w:rPr>
              <w:t>Формирование благоприятного инвестиционного климата в муниципальном районе, увеличение притока инвестиционных ресурсов в район.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365E98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  реализации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2019—2025 годы </w:t>
            </w:r>
          </w:p>
        </w:tc>
      </w:tr>
      <w:tr w:rsidR="00365E98" w:rsidRPr="00CC272F" w:rsidTr="003E7462">
        <w:tc>
          <w:tcPr>
            <w:tcW w:w="3119" w:type="dxa"/>
          </w:tcPr>
          <w:p w:rsidR="00365E98" w:rsidRPr="00CC272F" w:rsidRDefault="00365E98" w:rsidP="00CC272F">
            <w:pPr>
              <w:spacing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Перечень подразделов муниципальной программы</w:t>
            </w:r>
          </w:p>
        </w:tc>
        <w:tc>
          <w:tcPr>
            <w:tcW w:w="7088" w:type="dxa"/>
          </w:tcPr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включает в себя 5 подразделов: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«Развитие промышленного комплекса»;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«Формирование благоприятной инвестиционной среды»;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инфраструктуры потребительского рынка товаров, работ и услуг»;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конкуренции»;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«Стратегическое планирование».</w:t>
            </w:r>
          </w:p>
          <w:p w:rsidR="00365E98" w:rsidRPr="00CC272F" w:rsidRDefault="00365E98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 муниципальной программы</w:t>
            </w:r>
          </w:p>
        </w:tc>
        <w:tc>
          <w:tcPr>
            <w:tcW w:w="7088" w:type="dxa"/>
          </w:tcPr>
          <w:p w:rsidR="00A046DA" w:rsidRPr="00CC272F" w:rsidRDefault="00A046DA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 финансирования муниципальной программы составляет 12631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рублей, в том числе</w:t>
            </w:r>
          </w:p>
          <w:p w:rsidR="00A046DA" w:rsidRPr="00CC272F" w:rsidRDefault="00A046DA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внебюджетных источников – 12631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</w:p>
          <w:p w:rsidR="00A046DA" w:rsidRPr="00CC272F" w:rsidRDefault="00CC272F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 числе по годам</w:t>
            </w:r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A046DA" w:rsidRPr="00CC272F" w:rsidRDefault="00430586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2019 год </w:t>
            </w:r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="00A046DA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046DA" w:rsidRPr="00CC272F" w:rsidRDefault="00A046DA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6975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046DA" w:rsidRPr="00CC272F" w:rsidRDefault="00A046DA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4584</w:t>
            </w:r>
            <w:r w:rsidR="00573F27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475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046DA" w:rsidRPr="00CC272F" w:rsidRDefault="00A046DA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– 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27000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2D55" w:rsidRPr="00CC272F" w:rsidRDefault="00A62D55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17000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2D55" w:rsidRPr="00CC272F" w:rsidRDefault="00A62D55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2024год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2400000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2D55" w:rsidRPr="00CC272F" w:rsidRDefault="00A62D55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2025год</w:t>
            </w:r>
            <w:r w:rsidR="00430586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600000 </w:t>
            </w:r>
            <w:proofErr w:type="spell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5780B" w:rsidRPr="00CC272F" w:rsidRDefault="00A62D55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промышленности.</w:t>
            </w:r>
          </w:p>
          <w:p w:rsidR="0025780B" w:rsidRPr="00CC272F" w:rsidRDefault="0025780B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благоприятного инвестиционного климата.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инфраструктуры потребительского рынка товаров, работ и услуг.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конкуренции.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полноценной системы стратегического планирования, способствующей социально-экономическому развитию Чамзинского муниципального района.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организации управления и 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практической реализации мероприятий Программы осуществляет  администрация Чамзинского муниципального района 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2595" w:rsidRPr="00CC272F" w:rsidRDefault="00522595" w:rsidP="00CC272F">
      <w:pPr>
        <w:pStyle w:val="af1"/>
        <w:autoSpaceDE w:val="0"/>
        <w:autoSpaceDN w:val="0"/>
        <w:adjustRightInd w:val="0"/>
        <w:spacing w:before="67" w:after="0"/>
        <w:ind w:left="108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25780B" w:rsidRPr="00CC272F" w:rsidRDefault="00790685" w:rsidP="00CC272F">
      <w:pPr>
        <w:pStyle w:val="af1"/>
        <w:numPr>
          <w:ilvl w:val="0"/>
          <w:numId w:val="45"/>
        </w:numPr>
        <w:autoSpaceDE w:val="0"/>
        <w:autoSpaceDN w:val="0"/>
        <w:adjustRightInd w:val="0"/>
        <w:spacing w:before="67" w:after="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Характеристика текущего состояния экономики</w:t>
      </w:r>
      <w:r w:rsidR="00CB7F50"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Чамзинского муниципального района.</w:t>
      </w:r>
    </w:p>
    <w:p w:rsidR="007F496D" w:rsidRPr="00CC272F" w:rsidRDefault="007F496D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</w:t>
      </w:r>
      <w:r w:rsid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Экономическое развитие Чамзинского муниципального района в последние годы характеризуется положительной динамикой основных макроэкономических показателей. Предпринимаемые меры по улучшению предпринимательского климата, стимулированию экономической активности и экономического роста, поддержке инновационного развития, повышению качества  муниципального управления способствуют созданию условий для повышения качества и уровня жизни населения.</w:t>
      </w:r>
    </w:p>
    <w:p w:rsidR="007F496D" w:rsidRPr="00CC272F" w:rsidRDefault="007F496D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Район располагает значительным производственным потенциалом, в настоящее время характ</w:t>
      </w:r>
      <w:r w:rsidR="0052259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еризуется как </w:t>
      </w:r>
      <w:r w:rsidR="006051E9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территория</w:t>
      </w:r>
      <w:r w:rsidR="0052259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благоприятной средой для ведения бизнеса.</w:t>
      </w:r>
    </w:p>
    <w:p w:rsidR="00522595" w:rsidRPr="00CC272F" w:rsidRDefault="00CC272F" w:rsidP="00CC272F">
      <w:pPr>
        <w:pStyle w:val="1"/>
        <w:keepNext w:val="0"/>
        <w:tabs>
          <w:tab w:val="left" w:pos="1134"/>
        </w:tabs>
        <w:spacing w:before="0" w:line="276" w:lineRule="auto"/>
        <w:jc w:val="both"/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     </w:t>
      </w:r>
      <w:r w:rsidR="007F496D" w:rsidRPr="00CC272F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7F496D" w:rsidRPr="00CC272F">
        <w:rPr>
          <w:rFonts w:ascii="Times New Roman" w:hAnsi="Times New Roman"/>
          <w:b w:val="0"/>
          <w:iCs/>
          <w:sz w:val="24"/>
          <w:szCs w:val="24"/>
          <w:lang w:eastAsia="ru-RU"/>
        </w:rPr>
        <w:t>Чамзинский район занимает удобное транспортно-географическое положение</w:t>
      </w:r>
      <w:r w:rsidR="00522595" w:rsidRPr="00CC272F">
        <w:rPr>
          <w:rFonts w:ascii="Times New Roman" w:hAnsi="Times New Roman"/>
          <w:b w:val="0"/>
          <w:bCs w:val="0"/>
          <w:iCs/>
          <w:sz w:val="24"/>
          <w:szCs w:val="24"/>
          <w:lang w:eastAsia="ru-RU"/>
        </w:rPr>
        <w:t>,</w:t>
      </w:r>
      <w:r w:rsidR="007F496D" w:rsidRPr="00CC272F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522595" w:rsidRPr="00CC272F">
        <w:rPr>
          <w:rFonts w:ascii="Times New Roman" w:hAnsi="Times New Roman"/>
          <w:b w:val="0"/>
          <w:iCs/>
          <w:sz w:val="24"/>
          <w:szCs w:val="24"/>
          <w:lang w:val="ru-RU" w:eastAsia="ru-RU"/>
        </w:rPr>
        <w:t>ч</w:t>
      </w:r>
      <w:r w:rsidR="00522595" w:rsidRPr="00CC272F"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  <w:t>ерез территорию района проходит федеральная трасса 1Р 178 «Саранск - Сурское - Ульяновск», железнодорожная линия Саранск - Красный Узел - Казань Горьковской железной дороги, а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втомобильная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 xml:space="preserve"> дорога регионального значения г. Саранск – 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пгт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 xml:space="preserve">. Комсомольский –  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пгт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>. Атяшево – г. Ардатов, которая соединяет муниципальные районы республики и связывает Республику Мордовия с Чувашской Республикой.</w:t>
      </w:r>
      <w:r w:rsidR="00522595" w:rsidRPr="00CC272F"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  <w:t xml:space="preserve"> Близость к городам Саранск и Рузаевка позволяет использовать транспортный потенциал столицы республики для доставки произведенных строительных материалов основным потребителям в других регионах России.</w:t>
      </w:r>
    </w:p>
    <w:p w:rsidR="007F496D" w:rsidRPr="00CC272F" w:rsidRDefault="007F496D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Протяженность автомобильных дорог составляет </w:t>
      </w:r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284 км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до столицы Республики Мордовия г. Саранск 51 км. Чамзинка является железнодорожной станцией</w:t>
      </w:r>
      <w:proofErr w:type="gramStart"/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</w:p>
    <w:p w:rsidR="00CF4911" w:rsidRPr="00CC272F" w:rsidRDefault="007F496D" w:rsidP="00CC272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Сформирован благоприятный климат для привлечения инвестиций: полный охват </w:t>
      </w:r>
      <w:proofErr w:type="gramStart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территории</w:t>
      </w:r>
      <w:proofErr w:type="gramEnd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всеми видами связи, включая Интернет, цифровое телевидение, стопроцентная газификация, развитая социальная, инженерна</w:t>
      </w:r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 и транспортная инфраструктура.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Чамзинский район  индустриально-аграрный  с развитой промышленностью стройматериалов, пищевой и перерабатывающей промышленностью, многоотраслевым сельским хозяйством</w:t>
      </w:r>
      <w:r w:rsidR="00CD6B9E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экономике ведущая роль принадлежит промышленности, доля которой в валовом региональном продукте 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свыше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6B9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67%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долю сел</w:t>
      </w:r>
      <w:r w:rsidR="00CD6B9E" w:rsidRPr="00CC272F">
        <w:rPr>
          <w:rFonts w:ascii="Times New Roman" w:hAnsi="Times New Roman" w:cs="Times New Roman"/>
          <w:sz w:val="24"/>
          <w:szCs w:val="24"/>
        </w:rPr>
        <w:t>ьскохозяйственного производства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приходится </w:t>
      </w:r>
      <w:r w:rsidR="00CD6B9E" w:rsidRPr="00CC272F">
        <w:rPr>
          <w:rFonts w:ascii="Times New Roman" w:hAnsi="Times New Roman" w:cs="Times New Roman"/>
          <w:sz w:val="24"/>
          <w:szCs w:val="24"/>
        </w:rPr>
        <w:t>23,5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CD6B9E" w:rsidRPr="00CC272F">
        <w:rPr>
          <w:rFonts w:ascii="Times New Roman" w:hAnsi="Times New Roman" w:cs="Times New Roman"/>
          <w:sz w:val="24"/>
          <w:szCs w:val="24"/>
        </w:rPr>
        <w:t>, на торговлю и общепит приходится 8,1%.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ind w:firstLine="567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Основу экономического потенциала района составляют промышленное производство и сельское хозяйство.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На  территории  района работают 7 промышленных и 7 сельскохозяйственных предприятий.</w:t>
      </w:r>
    </w:p>
    <w:p w:rsidR="00323DD6" w:rsidRPr="00CC272F" w:rsidRDefault="00323DD6" w:rsidP="00CC272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sz w:val="24"/>
          <w:szCs w:val="24"/>
          <w:u w:val="single"/>
          <w:lang w:bidi="ru-RU"/>
        </w:rPr>
        <w:t>Промышленный комплекс</w:t>
      </w:r>
      <w:r w:rsidRPr="00CC272F">
        <w:rPr>
          <w:rFonts w:ascii="Times New Roman" w:eastAsia="Calibri" w:hAnsi="Times New Roman" w:cs="Times New Roman"/>
          <w:sz w:val="24"/>
          <w:szCs w:val="24"/>
          <w:lang w:bidi="ru-RU"/>
        </w:rPr>
        <w:t>. Промышленный комплекс является лидером экономики Чамзинского муниципального района. В нем занято свыше 31% работающего населения.</w:t>
      </w:r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 В районе действует 3 крупных </w:t>
      </w:r>
      <w:proofErr w:type="spellStart"/>
      <w:r w:rsidRPr="00CC272F">
        <w:rPr>
          <w:rFonts w:ascii="Times New Roman" w:hAnsi="Times New Roman" w:cs="Times New Roman"/>
          <w:color w:val="000000"/>
          <w:sz w:val="24"/>
          <w:szCs w:val="24"/>
        </w:rPr>
        <w:t>бюджетообразующих</w:t>
      </w:r>
      <w:proofErr w:type="spellEnd"/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предприятий, 3 средних промышленных предприятий. 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3DD6" w:rsidRPr="00CC272F" w:rsidRDefault="00323DD6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323DD6" w:rsidRPr="00CC272F" w:rsidRDefault="00323DD6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Запасы мергелистого мела, открытые на территории района, послужили базой для развития цементного производства и основой экономического развития района.      </w:t>
      </w:r>
    </w:p>
    <w:p w:rsidR="006051E9" w:rsidRPr="00CC272F" w:rsidRDefault="00323DD6" w:rsidP="00CC272F">
      <w:pPr>
        <w:spacing w:after="0"/>
        <w:ind w:firstLine="1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На  территории  района сосредоточены крупные производители строительных материалов федерального уровня: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3DD6" w:rsidRPr="00CC272F" w:rsidRDefault="00323DD6" w:rsidP="00CC272F">
      <w:pPr>
        <w:spacing w:after="0"/>
        <w:ind w:firstLine="1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публичное акционерное общество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Мордовцемент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 – производитель цемента, с декабря 2014 года входит в  холдинг "ЕВРОЦЕМЕНТ групп».</w:t>
      </w:r>
      <w:r w:rsidRPr="00CC272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323DD6" w:rsidRPr="00CC272F" w:rsidRDefault="00323DD6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-  открытое акционерное общество "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Лато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" производит асбестоцементные плиты,  трубы и сухие строительные смеси,   первым в России освоил производство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фиброцементных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плит, работает по международному  сертификату соответствия СЕ на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фиброцементные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плиты. Занимает четвертое место среди ведущих производителей асбестоцементных изделий в России. </w:t>
      </w:r>
    </w:p>
    <w:p w:rsidR="00323DD6" w:rsidRPr="00CC272F" w:rsidRDefault="00323DD6" w:rsidP="00CC272F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Общество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«Магма» - предприятие по производству сухих строительных смесей, переработке гипсового камня и производству гипсовых вяжущих.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051E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последние три года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  <w:proofErr w:type="gram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ООО «Магма» выпускает </w:t>
      </w:r>
      <w:proofErr w:type="gram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более сорока видов</w:t>
      </w:r>
      <w:proofErr w:type="gram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сухих строительных смесей под торговыми марками МАГМА и 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Stolz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. Вся продукция выпускается на самом современном оборудовании немецкой  фирмы m-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tec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. </w:t>
      </w:r>
      <w:r w:rsidRPr="00CC272F">
        <w:rPr>
          <w:rFonts w:ascii="Times New Roman" w:eastAsia="Calibri" w:hAnsi="Times New Roman" w:cs="Times New Roman"/>
          <w:sz w:val="24"/>
          <w:szCs w:val="24"/>
        </w:rPr>
        <w:t>Вся продукция, выпускаемая ООО «Магма», сертифицирована.</w:t>
      </w:r>
    </w:p>
    <w:p w:rsidR="00323DD6" w:rsidRPr="00CC272F" w:rsidRDefault="00323DD6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на территории района работают  ООО «Мосстрой-31 Поволжье» по производству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пенополистирола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общество с ограниченной ответственностью «Автозапчасть +</w:t>
      </w:r>
      <w:r w:rsidRPr="00CC27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которое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 комплектующие детали для автомобилей.</w:t>
      </w:r>
    </w:p>
    <w:p w:rsidR="00CC272F" w:rsidRDefault="008A0AA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Начиная с 2015 года, в промышленности района  отмечен </w:t>
      </w:r>
      <w:r w:rsidR="00323DD6"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ускоренн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ый</w:t>
      </w:r>
      <w:r w:rsidR="00323DD6"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рост производства предприятий переработки, с одновременным снижением доли предприятий стройиндустрии. Доля предприятий переработки сельскохозяйственной продукции   превысила  в общем объеме  57%. </w:t>
      </w:r>
      <w:r w:rsidR="00323DD6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К предприятиям пищевой промышленности и переработки отн</w:t>
      </w:r>
      <w:r w:rsid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осятся: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-мясоперерабатывающее предприятие  ООО «Юбилейное», в ассортименте которого более 100 наименований продукции, включая полуфабрикаты, колбасные изделия и  мясные деликатесы. 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 общество с ограниченной ответственностью  «Мечта» - перерабатывает в сутки до 150 тонн молока; в ассортименте готовой продукции 55 наименований; 65% продукции упаковывается   на шведской линии «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Tetra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Pak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</w:t>
      </w:r>
    </w:p>
    <w:p w:rsidR="00A84F0B" w:rsidRPr="00CC272F" w:rsidRDefault="00A84F0B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ООО «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КомбиС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»- предприятие по переработки продукции растениеводства, имеет элеватор на 60тыс.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тонн хранения зерна, вырабатывает до 20 тонн/час комбикормов; имеет 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маслопрессовочный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крупоцех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4F0B" w:rsidRPr="00CC272F" w:rsidRDefault="00A84F0B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051E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Общества «Юбилейное» и  «Мечта» - постоянные участники и победители  ежегодной всероссийской выставки «Золотая осень». Мясная и молочная продукция этих предприятий  под маркой «Хорошее дело» известна и узнаваема за пределами Мордовии.  </w:t>
      </w:r>
    </w:p>
    <w:p w:rsidR="00323DD6" w:rsidRPr="00CC272F" w:rsidRDefault="00323DD6" w:rsidP="00CC272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Динамика объемов отгруженной продукции собственного производства предприятиями Чамзинского муниципального района за 2015-2018 годы </w:t>
      </w:r>
    </w:p>
    <w:p w:rsidR="00323DD6" w:rsidRPr="00CC272F" w:rsidRDefault="00323DD6" w:rsidP="00CC272F">
      <w:pPr>
        <w:suppressAutoHyphens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EF47F8" wp14:editId="7FA8B9A6">
            <wp:extent cx="5257800" cy="32099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23DD6" w:rsidRPr="00CC272F" w:rsidRDefault="00323DD6" w:rsidP="00CC272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C272F">
        <w:rPr>
          <w:rFonts w:ascii="Times New Roman" w:eastAsiaTheme="minorHAnsi" w:hAnsi="Times New Roman" w:cs="Times New Roman"/>
          <w:lang w:eastAsia="en-US"/>
        </w:rPr>
        <w:t xml:space="preserve">       Промышленность района представлена обрабатывающим производством. Около  58% </w:t>
      </w:r>
      <w:r w:rsidRPr="00CC272F">
        <w:rPr>
          <w:rFonts w:ascii="Times New Roman" w:hAnsi="Times New Roman" w:cs="Times New Roman"/>
        </w:rPr>
        <w:t xml:space="preserve"> объема отгруженной продукции обрабатывающих производств составляет пищевая промышленность (переработка сельхозпродукции), остальные 42% - производство строительных материалов, в основном это выпуск цемента, </w:t>
      </w:r>
      <w:proofErr w:type="spellStart"/>
      <w:proofErr w:type="gramStart"/>
      <w:r w:rsidRPr="00CC272F">
        <w:rPr>
          <w:rFonts w:ascii="Times New Roman" w:hAnsi="Times New Roman" w:cs="Times New Roman"/>
        </w:rPr>
        <w:t>асбесто</w:t>
      </w:r>
      <w:proofErr w:type="spellEnd"/>
      <w:r w:rsidRPr="00CC272F">
        <w:rPr>
          <w:rFonts w:ascii="Times New Roman" w:hAnsi="Times New Roman" w:cs="Times New Roman"/>
        </w:rPr>
        <w:t>-цементных</w:t>
      </w:r>
      <w:proofErr w:type="gramEnd"/>
      <w:r w:rsidRPr="00CC272F">
        <w:rPr>
          <w:rFonts w:ascii="Times New Roman" w:hAnsi="Times New Roman" w:cs="Times New Roman"/>
        </w:rPr>
        <w:t xml:space="preserve"> изделий и гипсовых вяжущих.</w:t>
      </w:r>
    </w:p>
    <w:p w:rsidR="006E0158" w:rsidRPr="00CC272F" w:rsidRDefault="006E0158" w:rsidP="00CC272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323DD6" w:rsidRPr="00CC272F" w:rsidRDefault="00323DD6" w:rsidP="00CC272F">
      <w:pPr>
        <w:widowControl w:val="0"/>
        <w:ind w:firstLine="7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C27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 w:bidi="ru-RU"/>
        </w:rPr>
        <w:t>Динамика производства продукции в натуральном выражении за период 2015-2017 годы  представлена в таблице</w:t>
      </w:r>
      <w:proofErr w:type="gramStart"/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.</w:t>
      </w:r>
      <w:proofErr w:type="gramEnd"/>
    </w:p>
    <w:p w:rsidR="00323DD6" w:rsidRPr="00CC272F" w:rsidRDefault="00323DD6" w:rsidP="00CC272F">
      <w:pPr>
        <w:spacing w:before="240"/>
        <w:ind w:firstLine="567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Таблица</w:t>
      </w:r>
    </w:p>
    <w:tbl>
      <w:tblPr>
        <w:tblStyle w:val="5"/>
        <w:tblW w:w="1059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402"/>
        <w:gridCol w:w="1276"/>
        <w:gridCol w:w="851"/>
        <w:gridCol w:w="1046"/>
        <w:gridCol w:w="938"/>
        <w:gridCol w:w="1219"/>
        <w:gridCol w:w="891"/>
        <w:gridCol w:w="974"/>
      </w:tblGrid>
      <w:tr w:rsidR="00323DD6" w:rsidRPr="00CC272F" w:rsidTr="006051E9">
        <w:tc>
          <w:tcPr>
            <w:tcW w:w="3402" w:type="dxa"/>
            <w:vMerge w:val="restart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виды продукции</w:t>
            </w:r>
          </w:p>
        </w:tc>
        <w:tc>
          <w:tcPr>
            <w:tcW w:w="7195" w:type="dxa"/>
            <w:gridSpan w:val="7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Производство </w:t>
            </w:r>
            <w:proofErr w:type="gramStart"/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соответствующих единицах измерения)</w:t>
            </w:r>
          </w:p>
        </w:tc>
      </w:tr>
      <w:tr w:rsidR="00323DD6" w:rsidRPr="00CC272F" w:rsidTr="006051E9">
        <w:tc>
          <w:tcPr>
            <w:tcW w:w="3402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984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2110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974" w:type="dxa"/>
            <w:vMerge w:val="restart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2017г.</w:t>
            </w:r>
          </w:p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к 2015г. в %</w:t>
            </w:r>
          </w:p>
        </w:tc>
      </w:tr>
      <w:tr w:rsidR="00323DD6" w:rsidRPr="00CC272F" w:rsidTr="006051E9">
        <w:tc>
          <w:tcPr>
            <w:tcW w:w="3402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% к 2014г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% к 2015г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% к 2016г</w:t>
            </w:r>
          </w:p>
        </w:tc>
        <w:tc>
          <w:tcPr>
            <w:tcW w:w="974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Цемент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2667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54.8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2346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88,0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3077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115,4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Листы асбестоцементные волнистых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млн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сл.плит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119.5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46.5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86,1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38,1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70,6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Асбестоцементные трубы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958.6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69.8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965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100,7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771,1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79,9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80,4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Фиброцементные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плиты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млн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сл.плит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21.3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91.8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18.7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87,8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21,8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116,6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102,3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Сухих строительных смесей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69.19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96.5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48,0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69,4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46,0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66,5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Пазогребневых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плит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615.85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102.6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545,9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88,6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604,2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110,7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98,1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Плит строительных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17817.9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86.3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14192,8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80,0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18000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126,8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101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Гипсовых вяжущих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13.2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45.1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4,8</w:t>
            </w:r>
          </w:p>
        </w:tc>
        <w:tc>
          <w:tcPr>
            <w:tcW w:w="938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36,4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2,4</w:t>
            </w:r>
          </w:p>
        </w:tc>
        <w:tc>
          <w:tcPr>
            <w:tcW w:w="891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74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18,2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Цельномолочной продукции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52721.4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87.2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47155.4</w:t>
            </w:r>
          </w:p>
        </w:tc>
        <w:tc>
          <w:tcPr>
            <w:tcW w:w="938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89,4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52437,3</w:t>
            </w:r>
          </w:p>
        </w:tc>
        <w:tc>
          <w:tcPr>
            <w:tcW w:w="891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111,2</w:t>
            </w:r>
          </w:p>
        </w:tc>
        <w:tc>
          <w:tcPr>
            <w:tcW w:w="974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99,5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Масло животное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345.3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23.3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452.4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131,0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406,7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117,8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сыры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354.8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66.2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82.2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24,0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97,1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118,1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27,4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Комбикорма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240605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261239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61,9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294600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112,7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122,4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крупы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4956,0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115 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2684,3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54,3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905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18,3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растительное масл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о(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4613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 92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2855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61,9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2844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61,7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мяса и субпродуктов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1072.5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67.8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1416,9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132,1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1140,9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80,5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106,4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мясных полуфабрикатов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552.8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116.3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2100,7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380 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2439,1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116,1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441,2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Производство колбасных изделий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619.0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124.2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158,0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1476,7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150,5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238,6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куриной продукции  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79240.5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121.0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95670,3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121,0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103296,2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130,4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куриных полуфабрикато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в(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5886.2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159.1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9038,8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153,0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8251,1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91,3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140,2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Объем производства 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мясо-костной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муки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11682.9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149.0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16188,8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153,0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18721,6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160,2</w:t>
            </w:r>
          </w:p>
        </w:tc>
      </w:tr>
    </w:tbl>
    <w:p w:rsidR="00323DD6" w:rsidRPr="00CC272F" w:rsidRDefault="00323DD6" w:rsidP="00CC272F">
      <w:pPr>
        <w:pStyle w:val="Default"/>
        <w:spacing w:line="276" w:lineRule="auto"/>
        <w:ind w:firstLine="442"/>
        <w:jc w:val="both"/>
        <w:rPr>
          <w:rFonts w:ascii="Times New Roman" w:hAnsi="Times New Roman" w:cs="Times New Roman"/>
        </w:rPr>
      </w:pPr>
    </w:p>
    <w:p w:rsidR="006E0158" w:rsidRPr="00CC272F" w:rsidRDefault="00323DD6" w:rsidP="00CC272F">
      <w:pPr>
        <w:pStyle w:val="Default"/>
        <w:spacing w:line="276" w:lineRule="auto"/>
        <w:ind w:firstLine="442"/>
        <w:jc w:val="both"/>
        <w:rPr>
          <w:rFonts w:ascii="Times New Roman" w:hAnsi="Times New Roman" w:cs="Times New Roman"/>
        </w:rPr>
      </w:pPr>
      <w:r w:rsidRPr="00CC272F">
        <w:rPr>
          <w:rFonts w:ascii="Times New Roman" w:eastAsia="Times New Roman" w:hAnsi="Times New Roman" w:cs="Times New Roman"/>
          <w:bCs/>
          <w:iCs/>
        </w:rPr>
        <w:t xml:space="preserve">           </w:t>
      </w:r>
      <w:proofErr w:type="gramStart"/>
      <w:r w:rsidR="006E0158" w:rsidRPr="00CC272F">
        <w:rPr>
          <w:rFonts w:ascii="Times New Roman" w:hAnsi="Times New Roman" w:cs="Times New Roman"/>
        </w:rPr>
        <w:t>Продукция промышленных предприятий Чамзинского района  известна как на российском, так и на мировом рынках.</w:t>
      </w:r>
      <w:proofErr w:type="gramEnd"/>
    </w:p>
    <w:p w:rsidR="003E7462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Сельское хозяйство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 Еже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годно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2006 года , Чамзинский район лидирует в трудовом соперничестве среди работников АПК Республики Мордовия, а последние пять лет является  победителем в высшей номинации -  «Район эффективного ведения сельскохозяйственного произво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дства». А также в номинации «За достижение высоких показателей в развитии отрасли растениеводства».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color w:val="FF0000"/>
          <w:kern w:val="16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сегодняшний день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сельхозугодья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составляют 57,6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 них  более 45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тыс.га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-пашни. В отрасли растениеводства хозяйства специализируются на производстве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товарного зерна и кормов, а также 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сахарной свеклы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. </w:t>
      </w:r>
      <w:r w:rsidR="004503C5"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Средняя у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рожайность зерновых в </w:t>
      </w:r>
      <w:r w:rsidR="004503C5"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последние годы при благоприятных  погодных условиях превышает 40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ц/га.</w:t>
      </w:r>
      <w:r w:rsidRPr="00CC272F">
        <w:rPr>
          <w:rFonts w:ascii="Times New Roman" w:eastAsia="Times New Roman" w:hAnsi="Times New Roman" w:cs="Times New Roman"/>
          <w:color w:val="FF0000"/>
          <w:kern w:val="16"/>
          <w:sz w:val="24"/>
          <w:szCs w:val="24"/>
          <w:lang w:eastAsia="ru-RU"/>
        </w:rPr>
        <w:t xml:space="preserve">               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отрасли животноводства наиболее развито мясное птицеводство и молочное животноводство.  Среди сельхозпредприятий  особое место занимают АО «Птицефабрика «Чамзинская», которая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специализируется на производстве мяса  цыплят-бройлеров и куриного яйца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 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тицефабрика «Чамзинская» неоднократно входила в число 300 предприятий России по высокой эффективности производства. Молочное скотоводство  сосредоточено в обществе 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«Хорошее Дело»;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«Мордовский бекон» 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репродуктивное свиноводство. За 2017год  сельскохозяйственными предприятиями и крестьянско-фермерскими хозяйствами произведено мяса скота и птицы  130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онн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темпом роста к 2016году - 106,7%.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2017 год  сельскохозяйственными предприятиями и крестьянско-фермерскими хозяйствами произведено молока  21664,8 тонн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адой на 1 фуражную корову в сельскохозяйственных предприятиях и крестьянско-фермерских хозяйствах  за 2017год составил 6836кг.</w:t>
      </w:r>
    </w:p>
    <w:p w:rsidR="00D07965" w:rsidRPr="00CC272F" w:rsidRDefault="003E7462" w:rsidP="00CC272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Производство куриного яйца 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насчитывает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30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млн.шт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., с яйценоскостью от одной курицы-несушки  311 штук.</w:t>
      </w:r>
    </w:p>
    <w:p w:rsidR="00D07965" w:rsidRPr="00CC272F" w:rsidRDefault="00D07965" w:rsidP="00CC272F">
      <w:pPr>
        <w:tabs>
          <w:tab w:val="left" w:pos="708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Потребительский рынок.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Ситуация на потребительском рынке Чамзинского муниципального района</w:t>
      </w: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в целом благоприятная, о чем свидетельствует позитивная динамика ключевых показателей:</w:t>
      </w:r>
    </w:p>
    <w:p w:rsidR="00D07965" w:rsidRPr="00CC272F" w:rsidRDefault="00D07965" w:rsidP="00CC272F">
      <w:pPr>
        <w:tabs>
          <w:tab w:val="left" w:pos="708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оборот розничной торговли и общественного питания 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Чамзинском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муниципальном районе в 2015–2017 гг. имели положительную динамику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оборот розничной торговли в этот период увеличился в фактических ценах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на 15%</w:t>
      </w:r>
      <w:proofErr w:type="gramStart"/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оборот общественного питания в этот период увеличился                                                       в фактических ценах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на 25%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реализации платных услуг в фактических ценах увеличился в 1,5 раза.</w:t>
      </w:r>
    </w:p>
    <w:p w:rsidR="00D07965" w:rsidRPr="00CC272F" w:rsidRDefault="00D07965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рынка, совершенствование механизма его регулирования являются одной из важнейших составляющих экономической политики </w:t>
      </w:r>
      <w:r w:rsidR="00ED6D6D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района.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Розничная торговля</w:t>
      </w:r>
      <w:r w:rsidRPr="00CC272F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Оборот розничной торговли через все каналы реализации за 20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год составил 3441,4 </w:t>
      </w:r>
      <w:proofErr w:type="spellStart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Start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 оборот розничной торговли на  69,3     % формировался торгующими организациями и индивидуальными предпринимателями, торгующими вне рынка. Доля продажи товаров на розничных рынках и ярмарках составила  30,7  %. В объеме оборота розничной торговли 37,2% занимает оборот крупных и средних предприятий,  24,9%- малых предприятий.</w:t>
      </w:r>
    </w:p>
    <w:p w:rsidR="00A84F0B" w:rsidRPr="00CC272F" w:rsidRDefault="00A84F0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оборот розничной торговли на душу на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селения составил 113287 рублей, с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 районов республики Чамзинский  район занимает 3 место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По состоянию на 01.01.2018 года на территории района действовало 246 стационарных торговых объекта с общей площадью 18351 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., в том числе торговой площадью 15749 кв. м.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Обеспеченность населения района площадью торговых объектов на 1 января 2018 </w:t>
      </w:r>
      <w:r w:rsidRPr="00CC272F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г.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535,9 м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 тыс. чел., или 138% от норматива. На положительную динамику обеспеченности населения торговыми площадями повлиял ввод площадей федеральных торговых сетей, в которых по состоянию на 1 января 2018 года на территории района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работают 25 торговых точек, в том числе: «Магнит»-8, «Пятерочка»-3, «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Белое»-3, «Рубль-Бум»-1, «Фортуна»-2, «»Дубки»-2, ТК «Лето»-1, «Ермолино»-1, «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Fix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price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»-1, «Павловская курочка»-1. На территории района функционирует универсальный продовольственный розничный рынок «Рождественский» с общей площадью 532 кв. м. и ярмарка «Рождественская» с общей площадью 5846 кв. м.</w:t>
      </w:r>
    </w:p>
    <w:p w:rsidR="00A84F0B" w:rsidRPr="00CC272F" w:rsidRDefault="00ED6D6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Общественное питание.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января 2018 года система общественного питания представлена предприятиями общедоступной сети в количестве 11 единиц,  из них кафе - 7 единиц,  пиццерия – 1 единица, суши-бар – 1 единица, общедоступные столовые - 2 единицы. Всего посадочных мест 761. Фактическая обеспеченность посадочными местами составляет 25,1% или 62,8% от утвержденного норматива. Предприятиями общественного питания района реализовано продукции на   69221 тыс. руб., что составляет 108,0% к соответствующему периоду прошлого года. Обеспеченность количеством посадочных мест на 1,0 тыс. человек по предприятиям общественного питания составила 78,1 единицы, с темпом роста к уровню прошлого года составил 100,8%.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На потребительском рынке района проводится работа по  внедрению расчетов с населением за оказанные услуги и товары через пластиковые карты. По состоянию на 01.01.2018 года в предприятиях района установлено 320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-терминалов по обслуживанию пластиковых карт. </w:t>
      </w:r>
    </w:p>
    <w:p w:rsidR="00A84F0B" w:rsidRPr="00CC272F" w:rsidRDefault="00ED6D6D" w:rsidP="00CC272F">
      <w:pPr>
        <w:autoSpaceDE w:val="0"/>
        <w:autoSpaceDN w:val="0"/>
        <w:adjustRightInd w:val="0"/>
        <w:spacing w:before="5" w:after="0"/>
        <w:ind w:firstLine="4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Услуги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Гораздо медленнее развивается на территории муниципального района рынок платных услуг населению. В настоящее время в районе функционируют 4 предприятия, обеспечивающие население коммунальными услугами; 6 предприятий, оказывающих услуги связи; 55 предприятий и предпринимателей, оказывающих бытовые услуги населению района. Наиболее проблемной является сфера бытового обслуживания населения. К первоочередным проблемам здесь следует отнести неравномерность размещения организаций бытового обслужи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вания и приемной сети, слабое развитие материально-технической базы, ограниченность ассортимента бытовых услуг в сельских населенных пунктах района. Во многом это объясняется низкой рентабельностью и платежеспособностью потребителей бытовых услуг на селе.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84F0B"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Инфраструктура и связь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Район располагает развитой инфраструктурой. Все населенные пункты электрифицированы на 100%, газифицированы.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Общий жилой фонд района составляет 857,4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тыс.кв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м. в среднем на одного жителя района приходилось 28,3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жилья.     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Телефонная сеть района использует  современную цифровую связь. 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Межрайонный узел электросвязи обеспечивает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широкополостной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 пользователям Интернет и предоставляет услуги цифрового телевидения населению района. Население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п.Комсомольский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пользуется услугами кабельного телевидения.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центральные усадьбы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сельскохозпредприятий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связаны с районным центром  асфальтированными дорогами, что позволяет осуществлять систематические автоперевозки населения. Работает 4 станции технического обслуживания и ремонта автомобилей. </w:t>
      </w:r>
    </w:p>
    <w:p w:rsidR="003E7462" w:rsidRPr="00CC272F" w:rsidRDefault="00A02D3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E7462"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Социальная сфера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представлена следующим образом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систему образования района входят 1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 школ (8 средних, 4 основных)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школы размещены в типовых зданиях.      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12 учреждениях дошкольного образования воспитываются 1270 детей. </w:t>
      </w:r>
    </w:p>
    <w:p w:rsidR="003E7462" w:rsidRPr="00CC272F" w:rsidRDefault="003E7462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1967 года готовит специалистов среднего звена Алексеевский индустриальный техникум.</w:t>
      </w:r>
    </w:p>
    <w:p w:rsidR="003E7462" w:rsidRPr="00CC272F" w:rsidRDefault="003E7462" w:rsidP="00CC272F">
      <w:pPr>
        <w:suppressAutoHyphens/>
        <w:spacing w:after="0"/>
        <w:jc w:val="both"/>
        <w:textAlignment w:val="baseline"/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В районе хорошая спортивная база: Детско-юношеская спортивная школа размещена в типовых спортивных комплексах в п. Чамзинка  и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Комсомольский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 За последние годы в районе построены спортивные сооружения:  ФОК п. Комсомольский, футбольное поле с искусственным покрытием в п. Чамзинка, теннисный корт п. Комсомольский, лыжная база в лесопарке п. Чамзинка,  ледовый дворец п. Комсомольский,  футбольное поле с искусственным покрытием и подогревом в п. Комсомольский.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Под патронажем партии «Единая Россия» в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Чамзинской</w:t>
      </w:r>
      <w:proofErr w:type="spell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средней школе №2 была открыта спортивная площадка с искусственным покрытием. 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Оказана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грантов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ая</w:t>
      </w:r>
      <w:proofErr w:type="spell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поддержк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а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сельских территорий 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для 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оборудован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ия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площадк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и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 со спортивными  тренажерами в количестве 11 штук  в селе  </w:t>
      </w:r>
      <w:proofErr w:type="gram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Большое</w:t>
      </w:r>
      <w:proofErr w:type="gram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Маресево</w:t>
      </w:r>
      <w:proofErr w:type="spellEnd"/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suppressAutoHyphens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Здравоохранение района представлено ГБУЗ Республики Мордовия «Комсомольская межрайонная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больница»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,с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стационаром на 240 коек круглосуточного и 80 коек дневного пребывания; 2мя поликлиниками на 750 посещений в смену, станцией скорой помощи,  18 фельдшерско-акушерскими медпунктами.  С 2003 года функционирует межрайонный  перинатальный центр, в 2010 году открыто первичное сосудистое отделение для больных с острыми нарушениями мозгового кровообращения на 30 коек. Оздоровительную работу проводит профилакторий ОАО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Мордовцемент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". Широко развита аптечная  сеть.</w:t>
      </w:r>
    </w:p>
    <w:p w:rsidR="003E7462" w:rsidRPr="00CC272F" w:rsidRDefault="003E7462" w:rsidP="00CC272F">
      <w:pPr>
        <w:tabs>
          <w:tab w:val="left" w:pos="3780"/>
        </w:tabs>
        <w:spacing w:after="0"/>
        <w:ind w:firstLine="2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сеть культурно-просветительных учреждений входят 2 Дома культуры, 15 культурно-досуговых центров и 22 библиотеки.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п.Комсомольский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работают  две детские музыкальные школы. Открыты школа искусств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филиалом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п.Чамзинка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филиал республиканского краеведческого музея. Издается районная газета «Знамя»</w:t>
      </w:r>
    </w:p>
    <w:p w:rsidR="009274BA" w:rsidRPr="00CC272F" w:rsidRDefault="009274BA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развитию территории применяется комплексный подход, наряду со строительством производственной инфраструктуры активно развивается социально-культурная сфера. Районный центр Чамзинка и </w:t>
      </w:r>
      <w:proofErr w:type="spell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отвечают всем требованиям, предъявляемым к городским населенным пунктам.</w:t>
      </w:r>
    </w:p>
    <w:p w:rsidR="00067BFD" w:rsidRPr="00CC272F" w:rsidRDefault="009274BA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На 1.01.2018г. численность постоянного населения составила  30130 человек, в том числе по возрастной структуре:</w:t>
      </w:r>
      <w:r w:rsidR="00067BFD" w:rsidRPr="00CC2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F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54,1 %-  население в трудоспособном возрасте, 29,6%- старше трудоспособного, 16,3%- моложе трудоспособного.</w:t>
      </w:r>
    </w:p>
    <w:p w:rsidR="003E7462" w:rsidRPr="00CC272F" w:rsidRDefault="003E7462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Чамзинский район в настоящее время и в перспективе рассматривается как инвестиционно-активная территория. В районе реализуются реальные инвестиционные проекты,</w:t>
      </w:r>
      <w:r w:rsidRPr="00CC272F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последний из них проект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MS Mincho" w:hAnsi="Times New Roman" w:cs="Times New Roman"/>
          <w:sz w:val="24"/>
          <w:szCs w:val="24"/>
          <w:lang w:eastAsia="ru-RU"/>
        </w:rPr>
        <w:t>ООО "Юбилейное"- «Строительство птицефермы по выращиванию цыплят-бройлеров и мясоперерабатывающего комплекса по переработке птицы»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которых есть отдача, которые обеспечивают новые рабочие места.</w:t>
      </w:r>
    </w:p>
    <w:p w:rsidR="00A62D55" w:rsidRPr="00CC272F" w:rsidRDefault="00A62D55" w:rsidP="00CC272F">
      <w:pPr>
        <w:autoSpaceDE w:val="0"/>
        <w:autoSpaceDN w:val="0"/>
        <w:adjustRightInd w:val="0"/>
        <w:spacing w:after="0"/>
        <w:ind w:firstLine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7462" w:rsidRPr="00CC272F" w:rsidRDefault="00A02D31" w:rsidP="00CC272F">
      <w:pPr>
        <w:autoSpaceDE w:val="0"/>
        <w:autoSpaceDN w:val="0"/>
        <w:adjustRightInd w:val="0"/>
        <w:spacing w:after="0"/>
        <w:ind w:firstLine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Приоритеты, цели и задачи реализуемой политики в </w:t>
      </w:r>
      <w:proofErr w:type="spellStart"/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Чамзинском</w:t>
      </w:r>
      <w:proofErr w:type="spellEnd"/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муниципальном районе</w:t>
      </w:r>
      <w:r w:rsidR="00BC5944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  Приоритеты, цели и</w:t>
      </w:r>
      <w:r w:rsidR="0061268D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Муниципальной программы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011" w:rsidRPr="00CC272F" w:rsidRDefault="003E7462" w:rsidP="00CC272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«Экономическое развития Чамзинского муниципального района на 2019-2025 годы»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с учетом приоритетов и направлений, предлагаемых в Стратегии социально-экономического развития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до 2025 года</w:t>
      </w:r>
      <w:r w:rsidR="009274BA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риоритетами экономического развития Чамзинского муниципального района являются:   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имеющихся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производств; создание новых высокооплачиваемых рабочих мест;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и развитие предпринимательской деятельности;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нематериального производства и инвестиционной деятельности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человеческого потенциала как основного фактора экономического роста и увеличение инвестиций в человеческий капитал.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целевыми ориентирами являются: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по повышению конкурентоспособности экономики района и улучшению инвестиционного климата, в том числе проведению процедур оценки регулирующего воздействия проектов нормативных правовых актов, при увеличении расходов бюджета на развитие инфраструктуры и повышение заработной платы в бюджетном секторе, развитию инноваций, проведению преобразований в сфере развития человеческого капитала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экономического роста на основе повышения инвестиционной привлекательности, конкурентоспособности экономики за счет модернизации базовых отраслей, развития инновационного сектора, высокотехнологичных производств, человеческого потенциала;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демографических, социальных задач, обеспечение роста реальных располагаемых денежных доходов населения.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Цели, задачи и показатели (индикаторы) достижения целей и решения задач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обозначенных выше основных проблем и приоритетов экономической политики, целями экономической политики в рамках реализации настоящей муниципальной программы являются: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жизненного уровня населения через ускорение инвестиционного развития муниципального района, повышающего ее инвестиционную и инновационную привлекательность в конкурентной среде региона;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предоставления государственных и муниципальных услуг, исполнения государственных и муниципальных функций;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предпринимательского климата и конкурентной среды;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потребует решения следующих задач: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благоприятного инвестиционного и предпринимательского климата, содействие повышению инвестиционной и инновационной активности организаций;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мер, направленных на стимулирование притока частных инвестиций в экономику муниципального района;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мероприятий, направленных на увеличение инвестиций в малое и среднее предпринимательство района и развитие механизмов муниципальной финансовой поддержки субъектов малого и среднего предпринимательства;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позитивного имиджа </w:t>
      </w:r>
      <w:r w:rsidR="00CA27A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ниципального района как инвестиционно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привлекательной территории, открытой для международного и межрегионального сотрудничества;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дополнительных источников финансирования инвестиционных потребностей;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развития конкуренции и снятия излишней административной нагрузки на бизнес;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ведение реестров государственных и муниципальных услуг (функций);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(внесение изменений) и принятие административных регламентов исполнения государственных и муниципальных функций, предоставления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государственных и муниципальных услуг;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сети ТОСП «МФЦ предоставления государственных и муниципальных услуг» на территории  муниципального района, соответствующих установленным требованиям;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программно-целевого метода бюджетных расходов;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 межрегиональных связей для обеспечения дальнейшего роста экономики р</w:t>
      </w:r>
      <w:r w:rsidR="00DB6EE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счет расширения рынков сбыта и наращивания экспорта продукции;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диверсифицированной экономики;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дальнейшее развитие и повышение эффективности выставочно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презентационной деятельности.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показателей (индикаторов) муниципальной программы в течение срока ее реализации представлены в </w:t>
      </w:r>
      <w:hyperlink w:anchor="Par1949" w:history="1">
        <w:r w:rsidRPr="00CC27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приложении 1</w:t>
        </w:r>
      </w:hyperlink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муниципальной программе.</w:t>
      </w:r>
    </w:p>
    <w:p w:rsidR="00E81ABC" w:rsidRPr="00CC272F" w:rsidRDefault="00E81ABC" w:rsidP="00CC272F">
      <w:pPr>
        <w:widowControl w:val="0"/>
        <w:autoSpaceDE w:val="0"/>
        <w:autoSpaceDN w:val="0"/>
        <w:spacing w:before="160" w:after="0"/>
        <w:ind w:firstLine="54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Сроки и этапы реализации муниципальной программы</w:t>
      </w:r>
    </w:p>
    <w:p w:rsidR="00E81ABC" w:rsidRPr="00CC272F" w:rsidRDefault="00E81ABC" w:rsidP="00CC272F">
      <w:pPr>
        <w:widowControl w:val="0"/>
        <w:autoSpaceDE w:val="0"/>
        <w:autoSpaceDN w:val="0"/>
        <w:spacing w:before="160"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срок реализации настоящей муниципальной программы рассчитан на период до 2025 года (в один этап).</w:t>
      </w:r>
    </w:p>
    <w:p w:rsidR="00E81ABC" w:rsidRPr="00CC272F" w:rsidRDefault="00742011" w:rsidP="00CC272F">
      <w:pPr>
        <w:widowControl w:val="0"/>
        <w:autoSpaceDE w:val="0"/>
        <w:autoSpaceDN w:val="0"/>
        <w:spacing w:before="200" w:after="0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81ABC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основных мероприятий муниципальной программы.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включает пять подразделов: 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подраздел </w:t>
      </w:r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«Развитие промышленного комплекса»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«Формирование благоприятной инвестиционной среды»;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-подраздел «Развитие инфраструктуры потребительского рынка товаров, работ и услуг»;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«Развитие конкуренции»;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«Стратегическое планирование».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подразделов имеет собственную систему целевых ориентиров, согласующихся с целями и задачами муниципальной программы, и подкрепленных конкретными комплексами мероприятий, реализуемых в рамках соответствующих основных мероприятий.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Выстроенная в рамках муниципальной программы система целевых ориентиров (цели, задачи, ожидаемые результаты) представляет собой четкую согласованную структуру,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промышленного комплекса»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одного основного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инвестиционных проектов в сфере промышленности и услуг.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«Формирование благоприятной инвестиционной среды»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реализации инвестиционных проектов;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поддержание позитивного имиджа района как территории, благоприятной для инвестиционной деятельности.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инфраструктуры потребительского рынка товаров, работ и услуг»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координации и правового регулирования в сфере потребительского рынка и услуг;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инфраструктуры и оптимальное размещение объектов потребительского рынка и сферы услуг.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конкуренции»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четырех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процедур закупок товаров, работ, услуг;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административных барьеров;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рынок услуг жилищно-коммунального хозяйства;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потребительского рынка.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«Стратегическое планирование»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комплексной системы стратегического планирования </w:t>
      </w:r>
      <w:r w:rsidR="00CA27A4"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Чамзинского 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E81ABC" w:rsidRPr="00CC272F" w:rsidRDefault="00E81ABC" w:rsidP="00CC27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Перечень мероприятий муниципальной программы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Экономическое развитие </w:t>
      </w:r>
      <w:r w:rsidR="00CA27A4"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муниципального района до 2025 года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приведен в приложении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к муниципальной программе.</w:t>
      </w:r>
    </w:p>
    <w:p w:rsidR="003A5439" w:rsidRPr="00CC272F" w:rsidRDefault="003A5439" w:rsidP="00CC272F">
      <w:pPr>
        <w:pStyle w:val="af1"/>
        <w:numPr>
          <w:ilvl w:val="0"/>
          <w:numId w:val="46"/>
        </w:numPr>
        <w:tabs>
          <w:tab w:val="left" w:pos="931"/>
        </w:tabs>
        <w:autoSpaceDE w:val="0"/>
        <w:autoSpaceDN w:val="0"/>
        <w:adjustRightInd w:val="0"/>
        <w:spacing w:before="5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основных мероприятий</w:t>
      </w:r>
    </w:p>
    <w:p w:rsidR="003E7462" w:rsidRPr="00CC272F" w:rsidRDefault="003A5439" w:rsidP="00CC272F">
      <w:pPr>
        <w:pStyle w:val="af1"/>
        <w:tabs>
          <w:tab w:val="left" w:pos="931"/>
        </w:tabs>
        <w:autoSpaceDE w:val="0"/>
        <w:autoSpaceDN w:val="0"/>
        <w:adjustRightInd w:val="0"/>
        <w:spacing w:before="5" w:after="0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программы.</w:t>
      </w:r>
    </w:p>
    <w:p w:rsidR="006E0158" w:rsidRPr="00CC272F" w:rsidRDefault="006E0158" w:rsidP="00CC272F">
      <w:pPr>
        <w:pStyle w:val="af1"/>
        <w:tabs>
          <w:tab w:val="left" w:pos="931"/>
        </w:tabs>
        <w:autoSpaceDE w:val="0"/>
        <w:autoSpaceDN w:val="0"/>
        <w:adjustRightInd w:val="0"/>
        <w:spacing w:before="5" w:after="0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5439" w:rsidRPr="00CC272F" w:rsidRDefault="003A5439" w:rsidP="00CC272F">
      <w:pPr>
        <w:tabs>
          <w:tab w:val="left" w:pos="931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Мероприятия муниципальной программы направлены на полное комплексное и сбалансированное использование имеющихся ресурсов Чамзинского муниципального района, с целью  обеспечения  решения проблем экономического развития района, проведения активной инновационной и инвестиционной политики.</w:t>
      </w:r>
    </w:p>
    <w:p w:rsidR="003A5439" w:rsidRPr="00CC272F" w:rsidRDefault="003A5439" w:rsidP="00CC272F">
      <w:pPr>
        <w:tabs>
          <w:tab w:val="left" w:pos="931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Основные мероприятия муниципальной программы сгруппированы по задачам с выделением приоритетных проектов по  сферам деятельности (прил.2).</w:t>
      </w:r>
    </w:p>
    <w:p w:rsidR="00AF38BA" w:rsidRPr="00CC272F" w:rsidRDefault="00AF38BA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</w:t>
      </w:r>
    </w:p>
    <w:p w:rsidR="00084A09" w:rsidRPr="00CC272F" w:rsidRDefault="00084A09" w:rsidP="00CC272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3.1.Развитие промышленного комплекса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подраздела 3.1</w:t>
      </w:r>
      <w:r w:rsidR="006E015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Развитие промышленного комплекса»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конкурентоспособного промышленного комплекса, ориентированного на создание высокопроизводительных рабочих мест и рост производительности труда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промышленного комплекса  за счет дальнейшего наращивания объемов промышленного производства существующих предприятий и за счет реализации новых проектов</w:t>
      </w:r>
    </w:p>
    <w:p w:rsidR="00E73D21" w:rsidRPr="00CC272F" w:rsidRDefault="0075474E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Основу промышленности Чамзинского муниципального района составляет обрабатывающее производство (производство стройматериалов и переработка сельскохозяйственной продукции), доля продукции которого в общем объёме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отгруженной промышленной продукции составляет 99,9%. На долю производства и распределения электроэнергии, газа и воды приходится 0,1%.</w:t>
      </w:r>
    </w:p>
    <w:p w:rsidR="00E73D21" w:rsidRPr="00CC272F" w:rsidRDefault="0075474E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 программы предусматривает 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позиций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территории с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конкурентоспособной, устойчивой, структурно сбалансированной промышленност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нацеленной на формирование новых рынков инновационной продукции.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D2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Промышленный сектор Чамзинского муниципального района в 2019-2025 годах будет развиваться в рамках приоритетных направлений экономической и социальной политики района. В связи с этим будет продолжена реализация мероприятий и проектов, имеющих для района  стратегическое значение.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мероприятие «Развитие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производств»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60DF6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Реализация инвестиционных проектов в сфере промышленности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60DF6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 цементного завод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«Магма Цемент»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3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 мини- завода по изготовлению бетона и изделий из бетона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4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ОАО «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«Создание производства окрашенного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фиброцементного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сайдинга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Latonit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Click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 (продолжение)</w:t>
      </w:r>
    </w:p>
    <w:p w:rsidR="0009069B" w:rsidRPr="00CC272F" w:rsidRDefault="00C60DF6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5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"ЛАТО" - "Приобретение, монтаж и ввод в эксплуатацию технологической линии окраски </w:t>
      </w:r>
      <w:proofErr w:type="spellStart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фиброцементных</w:t>
      </w:r>
      <w:proofErr w:type="spellEnd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 в "массе</w:t>
      </w:r>
      <w:proofErr w:type="gramStart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"(</w:t>
      </w:r>
      <w:proofErr w:type="gramEnd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продолжение)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 2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"Укрепление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экономики"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подраздела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промышленного комплекса»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к 2025 году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DF6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 к 2025 г. до 55987200 </w:t>
      </w:r>
      <w:proofErr w:type="spell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 к 2025 г. довести до 106% ежегодно.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Производительность труда в обрабатывающих производствах к 2025 г. довести до13725.7 </w:t>
      </w:r>
      <w:proofErr w:type="spell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Темп роста производительности труда в обрабатывающих производствах к соответствующему периоду прошлого года к 2025 г. довести до 106% ежегодно.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реализации Подраздела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промышленного комплекса</w:t>
      </w:r>
      <w:r w:rsidR="004F1163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4F1163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перечень мероприятий  представлены в приложении 3 к Программе.</w:t>
      </w:r>
      <w:proofErr w:type="gramEnd"/>
    </w:p>
    <w:p w:rsidR="00AF38BA" w:rsidRPr="00CC272F" w:rsidRDefault="00AF38BA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A2027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Формирование благоприятной инвестиционной среды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современных условиях развитие района зависит от полноты использования его экономического потенциала. Активизация инвестиционной деятельности будет способствовать подъёму и дальнейшему развитию экономики. С помощью инвестиций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создаются новые предприятия и, соответственно, дополнительные рабочие места, расширяются действующие производства, обеспечивается освоение и выход на рынок новых видов товаров и услуг, обустраиваются территории, пополняются налоговые поступления в бюджеты различных уровней, которые в дальнейшем направляются на решение социальных проблем и т.д. В настоящее время дефицит инвестиционных ресурсов остается одной из главных проблем муниципалитета.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строительных работ и др.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инвестиционного климата является одним из основных показателей общеэкономической ситуации и перспектив развития района.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Инвестиционная привлекательность Чамзинского муниципального района определяется выгодным экономико-географическим положением и богатым историко-культурным потенциалом. 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повышения инвестиционной привлекательности муниципального района и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комплексных мер, направленных на улучшение инвестиционного климата в районе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-совершенствовать нормативно-правовое, организационное и информационное обеспечение инвестиционной деятельности;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инвестиционной и деловой активности субъектов инвестиционной деятельности</w:t>
      </w:r>
    </w:p>
    <w:p w:rsidR="007919FE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Реализация </w:t>
      </w:r>
      <w:r w:rsidR="00C70F78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п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одраздела 3.2.  предусматривает выполнение 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следующих мероприятий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:</w:t>
      </w:r>
    </w:p>
    <w:p w:rsidR="00C60DF6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Основное мероприятие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«Создание условий для реализации инвестицио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нных проектов» </w:t>
      </w:r>
    </w:p>
    <w:p w:rsidR="00991CD3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Мероприятие 1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«Организация и проведение  торгов по реализации  земельных участков и объектов недвижимого имущества,  находящегося в муниципальной собственности»</w:t>
      </w:r>
    </w:p>
    <w:p w:rsidR="007919FE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Мероприятие  2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"Организация и проведение  торгов по продаже права  заключения договоров аренды в отношении  земельных участков и объектов недвижимого имущества (в </w:t>
      </w:r>
      <w:proofErr w:type="spellStart"/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т.ч</w:t>
      </w:r>
      <w:proofErr w:type="spellEnd"/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 передача по договору концессии), находящегося в муниципальной собственности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».</w:t>
      </w:r>
    </w:p>
    <w:p w:rsidR="00991CD3" w:rsidRPr="00CC272F" w:rsidRDefault="00991CD3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Мероприятие 3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«Определение рыночной стоимости земельных участков, государственная стоимость на которые не разграничена с целью их продажи путем проведения торгов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подраздела 3.2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благоприятной инвестиционной среды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в 2025 году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8751B" w:rsidRPr="00CC272F" w:rsidRDefault="00084A09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Объем инвестиций в основной капитал (за исключением бюджетных средств)</w:t>
      </w:r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- 934526 </w:t>
      </w:r>
      <w:proofErr w:type="spellStart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91CD3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Количество рабочих мест, созданных за счет реализации инвестиционных проектов</w:t>
      </w:r>
      <w:r w:rsidR="00BC5944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2019-2025гг. 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C5944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370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ед.</w:t>
      </w:r>
    </w:p>
    <w:p w:rsidR="00991CD3" w:rsidRPr="00CC272F" w:rsidRDefault="00991CD3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данных мероприятий поддержки позволит активизировать инвестиционную деятельность района, будет способствовать развитию реализуемых инвестиционных проектов, созданию новых рабочих мест, повышению уровня и качества жизни населения.</w:t>
      </w:r>
    </w:p>
    <w:p w:rsidR="00991CD3" w:rsidRPr="00CC272F" w:rsidRDefault="00991CD3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  <w:proofErr w:type="gramEnd"/>
    </w:p>
    <w:p w:rsidR="00CC272F" w:rsidRDefault="00CC272F" w:rsidP="00CC272F">
      <w:pPr>
        <w:pStyle w:val="af1"/>
        <w:autoSpaceDE w:val="0"/>
        <w:autoSpaceDN w:val="0"/>
        <w:adjustRightInd w:val="0"/>
        <w:spacing w:after="0"/>
        <w:ind w:left="59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220" w:rsidRPr="00CC272F" w:rsidRDefault="00AA2027" w:rsidP="00CC272F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инфраструктуры потребительского рынка товаров,</w:t>
      </w:r>
    </w:p>
    <w:p w:rsidR="00AA2027" w:rsidRPr="00CC272F" w:rsidRDefault="00AA2027" w:rsidP="00CC272F">
      <w:pPr>
        <w:pStyle w:val="af1"/>
        <w:autoSpaceDE w:val="0"/>
        <w:autoSpaceDN w:val="0"/>
        <w:adjustRightInd w:val="0"/>
        <w:spacing w:after="0"/>
        <w:ind w:left="55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 и услуг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рынка, совершенствование механизма его регулирования являются одной из важнейших составляющих экономической политики Чамзинского района.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В основе подраздела лежат положения, ориентированные на улучшение обслуживания населения </w:t>
      </w:r>
      <w:r w:rsidR="00FD0A11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Чамзинского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 путем создания условий для обеспечения доступности и качества розничной торговли, оказываемых населению платных услуг, в том числе общественного питания и бытового обслуживания.</w:t>
      </w:r>
    </w:p>
    <w:p w:rsidR="00911BB9" w:rsidRPr="00CC272F" w:rsidRDefault="00911BB9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Основными целями Подраздела являются повышение социально-экономической эффективности потребительского рынка и сферы услуг, создание условий для наиболее полного удовлетворения спроса населения на качественные товары и услуги.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Для достижения целей Подраздела необходимо выполнение следующих задач: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bookmarkStart w:id="1" w:name="sub_30024"/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услуг торговли, общественного питания и бытового обслуживания;</w:t>
      </w:r>
    </w:p>
    <w:bookmarkEnd w:id="1"/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производства и реализации качественных и безопасных товаров (работ, услуг) на потребительском рынке республики;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конкурентоспособности субъектов малого и среднего предпринимательства на потребительском рынке;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развитию конкуренции в </w:t>
      </w:r>
      <w:r w:rsidR="00FD0A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Осуществление целей предлагается обеспечить проведением комплекса </w:t>
      </w:r>
      <w:hyperlink w:anchor="Par650" w:history="1">
        <w:r w:rsidRPr="00CC272F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мероприятий</w:t>
        </w:r>
      </w:hyperlink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, объединенных в основных мероприятиях в соответствии с задачами настоящего Подраздела.</w:t>
      </w:r>
    </w:p>
    <w:p w:rsidR="00FD0A11" w:rsidRPr="00CC272F" w:rsidRDefault="00FD0A11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Реализация Подраздела предусматривает выполнение конкретных мероприятий, скоординированных по времени, ресурсам и исполнителям:</w:t>
      </w:r>
    </w:p>
    <w:p w:rsidR="00FD0A11" w:rsidRPr="00CC272F" w:rsidRDefault="00FD0A11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</w:r>
    </w:p>
    <w:p w:rsidR="00FD0A11" w:rsidRPr="00CC272F" w:rsidRDefault="00FD0A11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1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 </w:t>
      </w:r>
      <w:proofErr w:type="spell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Дырин</w:t>
      </w:r>
      <w:proofErr w:type="spell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С.К.-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придорожного кафе "55-й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километр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"н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мест</w:t>
      </w:r>
    </w:p>
    <w:p w:rsidR="00557A0D" w:rsidRPr="00CC272F" w:rsidRDefault="00FD0A11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2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proofErr w:type="gram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О«</w:t>
      </w:r>
      <w:proofErr w:type="gram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</w:t>
      </w:r>
      <w:proofErr w:type="spell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»-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«Открытие цеха по производству полуфабрикатов»</w:t>
      </w:r>
    </w:p>
    <w:p w:rsidR="00FD0A11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ООО«Меридиан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»- «Строительство Торгового павильона 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</w:p>
    <w:p w:rsidR="00557A0D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сферы услуг»</w:t>
      </w:r>
      <w:r w:rsidRPr="00CC272F">
        <w:rPr>
          <w:rFonts w:ascii="Times New Roman" w:hAnsi="Times New Roman" w:cs="Times New Roman"/>
          <w:sz w:val="24"/>
          <w:szCs w:val="24"/>
        </w:rPr>
        <w:t xml:space="preserve">  направлено на 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качества и безопасности товаров и услуг на предприятиях потребительского рынка и сферы услуг.</w:t>
      </w:r>
    </w:p>
    <w:p w:rsidR="00557A0D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4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ИП Игонин А.Е.- «Обновление транспортных сре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перевозки пассажиров в количестве 10 единиц»</w:t>
      </w:r>
    </w:p>
    <w:p w:rsidR="00557A0D" w:rsidRPr="00CC272F" w:rsidRDefault="00557A0D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Целевые показатели подраздела и их значения к 2025 году:</w:t>
      </w:r>
    </w:p>
    <w:p w:rsidR="00911BB9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оборота розничной торговли во всех каналах реализации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2025г.-   </w:t>
      </w:r>
      <w:r w:rsidRPr="00CC272F">
        <w:rPr>
          <w:rFonts w:ascii="Times New Roman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5 448 085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6ADB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Оборот общественного питания, к 2025 г.- 119427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6ADB" w:rsidRPr="00CC272F" w:rsidRDefault="00186ADB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  <w:proofErr w:type="gramEnd"/>
    </w:p>
    <w:p w:rsidR="00AA2027" w:rsidRPr="00CC272F" w:rsidRDefault="00AA2027" w:rsidP="00CC272F">
      <w:pPr>
        <w:pStyle w:val="af1"/>
        <w:numPr>
          <w:ilvl w:val="1"/>
          <w:numId w:val="46"/>
        </w:numPr>
        <w:spacing w:before="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Развитие конкуренции</w:t>
      </w:r>
    </w:p>
    <w:p w:rsidR="006C5046" w:rsidRPr="00CC272F" w:rsidRDefault="006C5046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Развитие конкуренции является одним из инструментов реализации основных направлений Стратегии социально-экономического развития Чамзинского муниципального района Республики Мордовия до 2025 года, утвержденной Решением Совета депутатов от 28 сентября 20</w:t>
      </w:r>
      <w:r w:rsidR="00B8111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8 года №</w:t>
      </w:r>
      <w:r w:rsidR="00B8111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165.</w:t>
      </w:r>
    </w:p>
    <w:p w:rsidR="00AA2027" w:rsidRPr="00CC272F" w:rsidRDefault="006C5046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Целью </w:t>
      </w:r>
      <w:r w:rsidR="00C70F78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одраздела является создание эффективной конкурентной среды и условий для добросовестной конкуренции. Достижение указанной цели осуществляется посредством реализации комплекса мер исполнительными органами государственной власти, органами местного самоуправления, общественными объединениями, организациями </w:t>
      </w:r>
      <w:proofErr w:type="gramStart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бизнес-сообщества</w:t>
      </w:r>
      <w:proofErr w:type="gramEnd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1D1E96" w:rsidRPr="00CC272F" w:rsidRDefault="00AA2027" w:rsidP="00CC272F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</w:t>
      </w:r>
      <w:r w:rsidR="006C5046"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подраздела 4</w:t>
      </w: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1D1E96" w:rsidRPr="00CC272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беспечение производителям товаров и услуг равного доступа на рынок;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окра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щение административных барьеров;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сбора, анализа и публикации информации о региональном рынке, потребностях в товарах и услугах в целях привлечения новых участников рынков;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мониторингов оценки состояния конкурентной среды субъектами предпринимательской деятельности,  удовлетворенности потребителей  качеством  товаров, работ и услуг на товарных рынках района  и состоянием ценовой конкуренции;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овышение информационной </w:t>
      </w:r>
      <w:proofErr w:type="gramStart"/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прозрачности деятельности органов местного самоуправления района</w:t>
      </w:r>
      <w:proofErr w:type="gramEnd"/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 содействию развитию конкуренции, включая доступность, понятность и удобство получения официальной информации о состоянии конкурентной среды на рынках товаров, работ и услуг;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окращение прямого участия органов местного самоуправления в хозяйственной деятельности;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асширение доступа к заказу на поставки товаров, выполнение работ, оказание услуг для государственных и муниципальных нужд и иным ресурсам, правам, предоставляемым органами местного самоуправления;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азвитие логистической, торговой, инженерной, информационной инфраструктуры, необходимой для развития предпринимательской деятельности;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азвитие конкуренции  на приоритетных и социально значимых рынках; </w:t>
      </w:r>
    </w:p>
    <w:p w:rsidR="00B81115" w:rsidRPr="00CC272F" w:rsidRDefault="00B81115" w:rsidP="00CC272F">
      <w:pPr>
        <w:pStyle w:val="af1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hAnsi="Times New Roman" w:cs="Times New Roman"/>
          <w:spacing w:val="-2"/>
          <w:sz w:val="24"/>
          <w:szCs w:val="24"/>
        </w:rPr>
        <w:t>Состав показателей (индикаторов) Подраздела определен исходя из необходимости выполнения основных целей и задач Подраздела и</w:t>
      </w:r>
    </w:p>
    <w:p w:rsidR="00B81115" w:rsidRPr="00CC272F" w:rsidRDefault="006C5046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рамках подраздела </w:t>
      </w:r>
      <w:r w:rsidR="00084A0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3.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4 «Развитие конкуренции» предполагается реализация следующих  мероприятий:</w:t>
      </w:r>
      <w:r w:rsidR="00B81115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Основное мероприятие</w:t>
      </w:r>
      <w:proofErr w:type="gramStart"/>
      <w:r w:rsidR="00911BB9"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="00C70F78"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:</w:t>
      </w:r>
      <w:proofErr w:type="gramEnd"/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</w:r>
      <w:r w:rsidR="00911BB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lastRenderedPageBreak/>
        <w:t xml:space="preserve">Мероприятие 1 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мониторингов и обследований организаций и объектов торговли, общественного питания, бытового обслуживания населения  Чамзинского района».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2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и проведение выставок, ярмарок товаров и услуг с участием товаропроизводителей Чамзинского района».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3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«Размещение информации о выполнении требований стандарта развития конкуренции в субъектах Российской Федерации и  мероприятий «дорожной карты», а также документов, принимаемых для их исполнения и в целях содействия развитию конкуренции в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районе на официальном сайте Чамзинского района  в разделе «</w:t>
      </w:r>
      <w:r w:rsidR="00FF3E8C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азвитие конкуренции».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4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"Организация семинаров, пров</w:t>
      </w:r>
      <w:r w:rsidR="00911BB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дение заседаний «круглых столов» по вопросам предпринимательской деятельности</w:t>
      </w: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"</w:t>
      </w:r>
    </w:p>
    <w:p w:rsidR="00B81115" w:rsidRPr="00CC272F" w:rsidRDefault="00B81115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="00084A0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подраздела 3.4 «Развитие конкуренции»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к 2025 году:</w:t>
      </w:r>
    </w:p>
    <w:p w:rsidR="00715CFE" w:rsidRPr="00CC272F" w:rsidRDefault="00911BB9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15CFE" w:rsidRPr="00CC272F">
        <w:rPr>
          <w:rFonts w:ascii="Times New Roman" w:eastAsia="Calibri" w:hAnsi="Times New Roman" w:cs="Times New Roman"/>
          <w:sz w:val="24"/>
          <w:szCs w:val="24"/>
        </w:rPr>
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 к 2025 г.-15%</w:t>
      </w:r>
      <w:r w:rsidRPr="00CC272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5046" w:rsidRPr="00CC272F" w:rsidRDefault="00911BB9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715CFE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к 2025г.- 2,8 ед.</w:t>
      </w:r>
    </w:p>
    <w:p w:rsidR="00715CFE" w:rsidRPr="00CC272F" w:rsidRDefault="00715CFE" w:rsidP="00CC272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</w:t>
      </w:r>
      <w:r w:rsidR="00FF3E8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одраздела обеспечит поступательную динамику развития конкуренции в экономике, даст значительный  эффект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развитии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товарных рынках на территории района, будет способствовать улучшению социально-экономической ситуации и повышению уровня жизни населения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15CFE" w:rsidRPr="00CC272F" w:rsidRDefault="00FF3E8C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одраздел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 4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 финансового обеспечения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7790" w:rsidRPr="00CC272F" w:rsidRDefault="00183058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</w:t>
      </w:r>
      <w:r w:rsidR="00AA2027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5</w:t>
      </w:r>
      <w:r w:rsidR="00CC7790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«Стратегическое планирование в </w:t>
      </w:r>
      <w:proofErr w:type="spellStart"/>
      <w:r w:rsidR="00AF38BA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Чамзинском</w:t>
      </w:r>
      <w:proofErr w:type="spellEnd"/>
      <w:r w:rsidR="00CC7790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муниципальном районе»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Цель: Функционирование комплексной системы стратегического планирования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Задачи под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 5: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Развитие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программно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целевого планирования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Осуществление анализа и прогнозирования социально - экономического развития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</w:t>
      </w:r>
    </w:p>
    <w:p w:rsidR="00DC627A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В рамках под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 5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«Стратегическое планирование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районе» предполагается реализация следующих  мероприятий: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yellow"/>
        </w:rPr>
        <w:t xml:space="preserve"> </w:t>
      </w: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Основное мероприятие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1 «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и координация реализации Стратегии социально-экономического развития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2 «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оддержание в актуальном состоянии Стратегии социально-экономического развития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и контроль ее выполнения;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lastRenderedPageBreak/>
        <w:t xml:space="preserve">Мероприятие 3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«Е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жегодная разработка комплексного плана мероприятий администрации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по реализации Стратегии социально- экономического развития на очередной год и контроль его выполнения;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4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"Разработка краткосрочных и среднесрочных прогнозов социально-экономического развития муниципального образования, отдельных отраслей и секторов экономики"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5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"Подготовка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6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"Размещение документов стратегического планирования  в автоматизированной информационной системе "Управление" (ГАС Управление)"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Целевые показатели под</w:t>
      </w:r>
      <w:r w:rsidR="00AF38BA" w:rsidRPr="00CC272F">
        <w:rPr>
          <w:rFonts w:ascii="Times New Roman" w:eastAsia="Calibri" w:hAnsi="Times New Roman" w:cs="Times New Roman"/>
          <w:sz w:val="24"/>
          <w:szCs w:val="24"/>
        </w:rPr>
        <w:t>раздела</w:t>
      </w:r>
      <w:r w:rsidR="00DC3344" w:rsidRPr="00CC272F">
        <w:rPr>
          <w:rFonts w:ascii="Times New Roman" w:eastAsia="Calibri" w:hAnsi="Times New Roman" w:cs="Times New Roman"/>
          <w:sz w:val="24"/>
          <w:szCs w:val="24"/>
        </w:rPr>
        <w:t xml:space="preserve"> и их значения к 2025 году</w:t>
      </w:r>
      <w:r w:rsidRPr="00CC272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1. 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муниципальных образований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-96%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Отклонение основных макроэкономических показателей прогноза социально-экономического развития 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от их фактических значений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не более 10%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Ожидаемые результаты под</w:t>
      </w:r>
      <w:r w:rsidR="005F5E7A" w:rsidRPr="00CC272F">
        <w:rPr>
          <w:rFonts w:ascii="Times New Roman" w:eastAsia="Calibri" w:hAnsi="Times New Roman" w:cs="Times New Roman"/>
          <w:sz w:val="24"/>
          <w:szCs w:val="24"/>
        </w:rPr>
        <w:t>раздела 5</w:t>
      </w:r>
      <w:r w:rsidRPr="00CC272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1) создание полноценной системы стратегического планирования, способствующей социально-экономическому развитию 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района;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согласованность методологии, целей, задач и показателей в документах стратегического планирования (стратегии, прогнозах, программах);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повышение результативности и эффективности реализации решений, принятых в процессе стратегического планирования в </w:t>
      </w:r>
      <w:proofErr w:type="spellStart"/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 </w:t>
      </w:r>
    </w:p>
    <w:p w:rsidR="00CC7790" w:rsidRPr="00CC272F" w:rsidRDefault="00DC3344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М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ероприятия под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требуют 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финансового обеспечения.</w:t>
      </w:r>
    </w:p>
    <w:p w:rsidR="004D0444" w:rsidRPr="00CC272F" w:rsidRDefault="007E1109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="004D0444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Ресурсное обеспечение Программы</w:t>
      </w:r>
    </w:p>
    <w:p w:rsidR="007E1109" w:rsidRPr="00CC272F" w:rsidRDefault="004D0444" w:rsidP="00CC272F">
      <w:pPr>
        <w:autoSpaceDE w:val="0"/>
        <w:autoSpaceDN w:val="0"/>
        <w:adjustRightInd w:val="0"/>
        <w:spacing w:before="86" w:after="0"/>
        <w:ind w:firstLine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обеспечение Программы осуществляется в пределах бюджетных ассигнований и лимитов бюджетных обязательств бюджета  </w:t>
      </w:r>
      <w:r w:rsidR="002578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на соответствующий ф</w:t>
      </w:r>
      <w:r w:rsidR="00AC73F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инансовый год и плановый период </w:t>
      </w:r>
      <w:r w:rsidR="007E110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привлекаемых внебюджетных источников.</w:t>
      </w:r>
    </w:p>
    <w:p w:rsidR="007E1109" w:rsidRPr="00CC272F" w:rsidRDefault="007E1109" w:rsidP="00CC272F">
      <w:pPr>
        <w:autoSpaceDE w:val="0"/>
        <w:autoSpaceDN w:val="0"/>
        <w:adjustRightInd w:val="0"/>
        <w:spacing w:before="86" w:after="0"/>
        <w:ind w:firstLine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внебюджетным источникам, привлекаемым для финансирования муниципальной программы, относятся средства участников реализации муниципальной программы, включая собственные средства предприятий и организаций государственного и негосударственного сектора экономики; целевые отчисления от прибыли предприятий, заинтересованных в реализации муниципальной программы; кредиты банков, средства фондов и общественных организаций, заинтересованных в реализации муниципальной программы (или ее отдельных мероприятий), и другие поступления</w:t>
      </w:r>
      <w:proofErr w:type="gramEnd"/>
    </w:p>
    <w:p w:rsidR="004D0444" w:rsidRPr="00CC272F" w:rsidRDefault="004D0444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Программы на 2019 - 2025 годы составит   </w:t>
      </w:r>
      <w:r w:rsidR="002578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0E0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12631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1D0E0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 w:rsidR="002578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рублей, 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 внебюджетных источников,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</w:t>
      </w:r>
      <w:r w:rsidR="009274BA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годам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2019 год -    416050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2020 год – 4586975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 год -  4584475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2022 год -      27000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 год –     17000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2024 год – 2400000 тыс. рублей;</w:t>
      </w:r>
    </w:p>
    <w:p w:rsidR="00AC73FD" w:rsidRPr="00CC272F" w:rsidRDefault="00AC73FD" w:rsidP="00CC27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2025 год –  600000  тыс. рублей.</w:t>
      </w:r>
    </w:p>
    <w:p w:rsidR="004D0444" w:rsidRPr="00CC272F" w:rsidRDefault="004D0444" w:rsidP="00CC272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</w:t>
      </w:r>
      <w:r w:rsidR="009274BA"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источниками финансирования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0444" w:rsidRPr="00CC272F" w:rsidRDefault="004D0444" w:rsidP="00CC272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по каждому мероприятию, в разрезе источников финансирования Программы представлены в приложении</w:t>
      </w:r>
      <w:r w:rsidR="00AC73FD"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 Программе.</w:t>
      </w:r>
    </w:p>
    <w:p w:rsidR="000E0CC3" w:rsidRPr="00CC272F" w:rsidRDefault="00AC73FD" w:rsidP="00CC272F">
      <w:pPr>
        <w:autoSpaceDE w:val="0"/>
        <w:autoSpaceDN w:val="0"/>
        <w:adjustRightInd w:val="0"/>
        <w:spacing w:before="67" w:after="0"/>
        <w:ind w:left="851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FF3E8C"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CB7733"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p w:rsidR="000E0CC3" w:rsidRPr="00CC272F" w:rsidRDefault="000E0CC3" w:rsidP="00CC272F">
      <w:pPr>
        <w:autoSpaceDE w:val="0"/>
        <w:autoSpaceDN w:val="0"/>
        <w:adjustRightInd w:val="0"/>
        <w:spacing w:before="139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эффективность реализации муниципальной программы могут ока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зать влияние внутренние и внешние риски, способные повлиять на ход вы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полнения основных мероприятий.</w:t>
      </w:r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left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внутренним рискам относятся: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 сроков реализации программы;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расходование денежных средств;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освоение выделенных денежных средств.</w:t>
      </w:r>
    </w:p>
    <w:p w:rsidR="008B4324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реализация может привести к не достижению целевых значений показателей и ожидаемых результатов муниципальной программы. Однако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исполнитель может управлять этими рисками,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минимизируя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возможные отклонения в выполнении программных мероприятий и исключая негативные последствия, что позволит осуществить рациональное управление реализацией программы. Меры по управлению этими рисками приведены в табл.</w:t>
      </w:r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right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Таблица </w:t>
      </w:r>
    </w:p>
    <w:p w:rsidR="000E0CC3" w:rsidRPr="00CC272F" w:rsidRDefault="000E0CC3" w:rsidP="00CC272F">
      <w:pPr>
        <w:autoSpaceDE w:val="0"/>
        <w:autoSpaceDN w:val="0"/>
        <w:adjustRightInd w:val="0"/>
        <w:spacing w:before="77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Риски реализации муниципальной программы и меры управления рисками</w:t>
      </w: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00"/>
        <w:gridCol w:w="4414"/>
      </w:tblGrid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ind w:left="17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риска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ind w:left="6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Меры по управлению рисками</w:t>
            </w:r>
          </w:p>
        </w:tc>
      </w:tr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финансирования либо финанси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рование в недостаточном объеме мероприятий Муниципальной программы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приоритетных направлений реализации Муниципальной программы, оперативное внесение соответствующих корректировок в Муниципальную программу</w:t>
            </w:r>
          </w:p>
        </w:tc>
      </w:tr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Организационные риски, связанные с ошибками управления реализацией Муниципаль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Организационно-методическая поддержка подведомственных учреждений, участвующих в реализации Муниципальной программы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7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риска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6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Меры по управлению рисками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0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Возможное изменение федерального и рес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публиканского законодательства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внесение изменений в дей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ствующие правовые акты и (или) принятие новых правовых актов Чамзинского муниципального района, 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касающихся сферы действия данной Муниципальной программы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0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Возникновение социально-экономической напряженности в муниципальном образовании из-за неполной или недостоверной информации о реализуемых мероприятиях, субъективные факторы в социальной и экономической сферах (изменение числа исполнителей и участников Муниципальной программы, изменение демографической ситуации, уровня жизни населения района)</w:t>
            </w:r>
            <w:proofErr w:type="gramEnd"/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Открытость и прозрачность планов меро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приятий и практических действий, инфор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мационное сопровождение Муниципальной программы</w:t>
            </w:r>
          </w:p>
        </w:tc>
      </w:tr>
    </w:tbl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E0CC3" w:rsidRPr="00CC272F" w:rsidRDefault="000E0CC3" w:rsidP="00CC272F">
      <w:pPr>
        <w:autoSpaceDE w:val="0"/>
        <w:autoSpaceDN w:val="0"/>
        <w:adjustRightInd w:val="0"/>
        <w:spacing w:before="43"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минимизации указанных рисков в процессе реализации муни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ципальной программы предусматривается создание эффективной системы управления на основе четкого распределения функций, полномочий и ответственности исполнителей и соисполнителей муниципальной программы, применения технологии решения актуальных проблем в социальной и экономической сферах Чамзинского муниципального района.</w:t>
      </w:r>
      <w:proofErr w:type="gramEnd"/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риски могут быть связаны с ухудшением макроэкономических условий в Республике Мордовия и России, с возможным наступлением мирового экономического кризиса, природными и техногенными катастрофами. Данные риски являются неуправляемыми. Они могут возникнуть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ухудшении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внутренней и внешней конъюнктуры, затрудняющем реа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лизацию дополнительных объемов продукции, сырья и продовольствия местного производства;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энергоресурсы и другие материально-технические сред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ства, что снижает уровень инвестиционной активности значительной части товаропроизводителей;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ухудшении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конкуренции на рынках высокотехнологичной продукции, свя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бизнеса, что может ограничить эффект от реализации мероприятий государственной программы, направленных на стимулирование внедрения инноваций в экономику;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сокращении уровня бюджетного финансирования, а также сокращении уровня финансирования из внебюджетных источников,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источников;</w:t>
      </w:r>
      <w:proofErr w:type="gramEnd"/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 работников потребностям экономики, оттоком квалифицированных кадров в другие регионы, в том числе по при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чинам социально-экономического характера;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недостаточном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транспортной и социальной инфра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структуры</w:t>
      </w:r>
      <w:r w:rsidR="000D70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0CC3" w:rsidRPr="00CC272F" w:rsidRDefault="000E0CC3" w:rsidP="00CC272F">
      <w:pPr>
        <w:autoSpaceDE w:val="0"/>
        <w:autoSpaceDN w:val="0"/>
        <w:adjustRightInd w:val="0"/>
        <w:spacing w:before="5" w:after="0"/>
        <w:ind w:left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Минимизация указанных рисков может быть обеспечена за счет: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мероприятий по улучшению инвестиционного климата;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совершенствования муниципального управления;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повышения доступности и качества муниципальных услуг;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механизмов государственной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 развития отраслей реального сектора экономики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-государственного партнерства, рацио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нального использования бюджетных средств, в том числе приоритетных, наиболее перспективных направлений инноваций и стимулирования их внедрения. Важными направлениями являются создание инновационной инфраструктуры для развития новых отраслей, поддержка высокотехнологичных отраслей, ориентированных на инвестиционный спрос, обновление технологической базы традиционных секторов экономики, выявление рыночных ниш, в которых производимая в районе продукция может успешно конкурировать с наиболее развитыми аналогами, производимыми в республике и в целом по стране;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условий для повышения предпринимательской активности и развития малого и среднего предпринимательства, снижения административных барьеров, препятствующих развитию бизнеса;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—совершенствования методов прогнозирования социально-экономического развития, повышения надежности и оперативности предоставления статистических данных для формирования краткосрочных и среднесрочных прогнозов социально-экономического развития;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—внедрения механизмов мониторинга и корректировок планов реализации Муниципальной программы с учетом параметров краткосрочного прогноза социально-экономического развития с целью принятия мер, упреждающих возникновение кризисных явлений в экономике и социальной сфере.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рисками будет осуществляться на основе: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—систематического мониторинга реализации Муниципальной программы, осуществления оперативных мер по их предупреждению и снижению негативного воздействия на экономику района;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—подготовки для представительных органов Чамзинского муниципального района доклада о ходе реализации муниципальной программы, в который будут включаться в необходимых случаях предложения о ее корректировке;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—кадровой политики, включающей подготовку квалифицированных специалистов для всех направлений реализации Муниципальной программы.</w:t>
      </w:r>
    </w:p>
    <w:p w:rsidR="004D0444" w:rsidRPr="00CC272F" w:rsidRDefault="008B4324" w:rsidP="00CC272F">
      <w:pPr>
        <w:autoSpaceDE w:val="0"/>
        <w:autoSpaceDN w:val="0"/>
        <w:adjustRightInd w:val="0"/>
        <w:spacing w:before="67" w:after="0"/>
        <w:ind w:right="197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6. Механизм реализации муниципальной программы</w:t>
      </w:r>
    </w:p>
    <w:p w:rsidR="004D0444" w:rsidRPr="00CC272F" w:rsidRDefault="004D0444" w:rsidP="00CC272F">
      <w:pPr>
        <w:autoSpaceDE w:val="0"/>
        <w:autoSpaceDN w:val="0"/>
        <w:adjustRightInd w:val="0"/>
        <w:spacing w:before="29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«Э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кономическо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Чамзинского муниципального района Республики Мордовия на 201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9-2025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экономики и прогнозирования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администрации Ча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мзинского муниципального района.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Базовым принципом построения механизма реализации муниципальной программы является принцип баланса интересов, подразумевающий обеспечение соблюдения интересов всех участников.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firstLine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и методы организации управления реализацией муниципальной программы определяются  администрацией Чамзинского муниципального района Республики Мордовия</w:t>
      </w:r>
      <w:r w:rsidR="00A02D3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Ответственный исполнител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экономики и прогнозирования администрации Чамзинского муниципального района :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организует реализацию муниципальной программы, координирует деятельность соисполнителей и участников муниципальной программы, принимает решение о внесении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изменений в муниципальную программу, обеспечивает разработку проектов изменений в муниципальную программу, их согласование и утверждение;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мониторинг реализации муниципальной программы;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оценку эффективности реализации муниципальной про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граммы;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 отчеты о реализации муниципальной программы, представляет их на рассмотрение Главе администрации Чамзинского муниципального района;</w:t>
      </w:r>
    </w:p>
    <w:p w:rsidR="004D0444" w:rsidRPr="00CC272F" w:rsidRDefault="004D0444" w:rsidP="00CC272F">
      <w:pPr>
        <w:tabs>
          <w:tab w:val="left" w:pos="91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Финансовое управление администрации Чамзинского муниципального района разрабатывает меры по привлечению средств из федерального, рес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публиканского и местного бюджетов и иных источников в соответствии с законодательством для реализации мероприятий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left="5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Соисполнители и участники муниципальной программы: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реализацию основных мероприятий;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 ответственность за достижение целевых показателей соответствующего раздела, подраздела муниципальной программы, а также за достижение ожидаемых конечных результатов ее реализации;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 предложения по внесению изменений в муниципальную программу;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мероприятий муниципальной программы участвуют в реализации мероприятий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муниципальной программы осуществляется в соответствии с планом реализации муниципальной программы.</w:t>
      </w:r>
    </w:p>
    <w:p w:rsidR="004D0444" w:rsidRPr="00CC272F" w:rsidRDefault="00BE2FE1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Отдел экономики и прогнозирования администрации Чамзинского муниципального района 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до</w:t>
      </w:r>
      <w:r w:rsidR="00C171F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171F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арта года, следующего за </w:t>
      </w:r>
      <w:proofErr w:type="gramStart"/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отчетным</w:t>
      </w:r>
      <w:proofErr w:type="gramEnd"/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формирует ежегодный отчет о реализации муниципальной программы за отчетный год.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Ежегодный (итоговый) отчет о реализации муниципальной программы должен содержать: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об исполнении мероприятий муниципальной программы, отчет об исполнении целевых показателей муниципальной программы, отчет о фи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нансировании муниципальной программы;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оценке эффективности реализации муниципальной про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граммы;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пояснительную записку, содержащую анализ факторов, повлиявших на ход реализации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4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Чамзинского муниципального района ежегодно уточняет целевые показатели и затраты по программным мероприятиям, с учетом выделенных на реализацию мероприятий муниципальной программы финансовых средств, а также механизм реализации Муниципальной программы и состав исполнителей.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4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 реализации муниципальной программы подлежит размещению  на официальном сайте администрации Чамзинского муниципального района в информационно-телекоммуникационной сети «Интернет».</w:t>
      </w:r>
    </w:p>
    <w:p w:rsidR="004D0444" w:rsidRPr="00CC272F" w:rsidRDefault="00A02D31" w:rsidP="00CC272F">
      <w:pPr>
        <w:autoSpaceDE w:val="0"/>
        <w:autoSpaceDN w:val="0"/>
        <w:adjustRightInd w:val="0"/>
        <w:spacing w:before="67" w:after="0"/>
        <w:ind w:left="1061" w:right="10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Методика оценки эффективности реализации муниципальной программы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Методика оценки эффективности муниципальной программы  представляет собой алгоритм оценки в процессе (по годам) и по итогам реализации муниципальной программы в целом как результативности муниципальной программы исходя из оценки соответствия текущих значений показателей их целевым значениям, так и экономической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эффективности достижения таких результатов с учетом объема ресурсов, направленных на реализацию муниципальной программы.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Методика оценки эффективности реализации муниципальной программы учитывает необходимость проведения оценок: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степени реализации  мероприятий 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 = МВ/М,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 – степень реализации  мероприятий;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 – общее количество мероприятий, запланированных к реализации в отчетном году;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 = ФФ/ ФП,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 – уровень финансирования реализации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ФФ – фактический объем финансовых ресурсов, направленный на реализацию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ФП – плановый объем финансовых ресурсов на соответствующий отчетный период;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использования средств, направленных на реализацию муниципальной программы  определяется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ЭС = СРМ/ССУЗ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степени достижения целей и решения задач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степени достижения целей и решения задач муниципальной программы  может определяться путем сопоставления фактически достигнутых значений показателей (индикаторов) муниципальной программы  и их плановых значений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СДЦ = (СДП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СДП2 + СДП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/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СДЦ - степень достижения целей (решения задач);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- степень достижения показателя (индикатора) муниципальной программы;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 (индикаторов) муниципальной программы 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достижения показателя (индикатора) муниципальной программы  (СДП) может рассчитываться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= ЗФ/ЗП,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ЗФ - фактическое значение показателя (индикатора)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ЗП - плановое значение показателя (индикатора) муниципальной программы  (для показателей (индикаторов), желаемой тенденцией развития которых является рост значений) или,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общей оценки эффективности реализации муниципальной программы  (ЭГП)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рассчитываемой по следующей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ЭГП = СДЦ x ЭС.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об эффективности (неэффективности) реализации муниципальной программы  может определяться на основании следующих критериев: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94"/>
        <w:gridCol w:w="3162"/>
      </w:tblGrid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 об эффективности реализации муниципальной программы 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Критерий оценки эффективности ЭГП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0,5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эффективности удовлетворительный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0,5 - 0,79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0,8 - 1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</w:t>
            </w:r>
          </w:p>
        </w:tc>
      </w:tr>
    </w:tbl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муниципальной программы осуществляется ответственным исполнителем ежегодно, до 1 марта года, следующего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Результаты оценки муниципальной программы предоставляются ответственным исполнителем главе администрации, представительному органу Чамзинского муниципального района в составе годового отчета о ходе реализации и оценке эффективности муниципальной программы.</w:t>
      </w:r>
    </w:p>
    <w:p w:rsidR="004D0444" w:rsidRPr="00CC272F" w:rsidRDefault="004D0444" w:rsidP="00CC272F">
      <w:pPr>
        <w:tabs>
          <w:tab w:val="left" w:pos="92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4D0444" w:rsidRPr="00CC272F" w:rsidRDefault="004D0444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Приложения к Программе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«Сведения о целевых показателей (индикаторах) муниципальной программы, подразделов муниципальной программы и их значениях»;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 «Перечень основных мероприятий, мероприятий подразделов муниципальной программы»;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 «Ресурсное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программы».</w:t>
      </w:r>
    </w:p>
    <w:p w:rsidR="004D0444" w:rsidRPr="00CC272F" w:rsidRDefault="004D0444" w:rsidP="00CC27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0444" w:rsidRPr="00CC272F" w:rsidRDefault="004D0444" w:rsidP="00CC272F">
      <w:pPr>
        <w:suppressAutoHyphens/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790" w:rsidRPr="00CC272F" w:rsidRDefault="00CC7790" w:rsidP="00CC272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C7790" w:rsidRPr="00CC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+mn-ea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5C80A1D"/>
    <w:multiLevelType w:val="hybridMultilevel"/>
    <w:tmpl w:val="99E2F424"/>
    <w:lvl w:ilvl="0" w:tplc="DFB813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1" w:hanging="360"/>
      </w:pPr>
    </w:lvl>
    <w:lvl w:ilvl="2" w:tplc="0419001B" w:tentative="1">
      <w:start w:val="1"/>
      <w:numFmt w:val="lowerRoman"/>
      <w:lvlText w:val="%3."/>
      <w:lvlJc w:val="right"/>
      <w:pPr>
        <w:ind w:left="2251" w:hanging="180"/>
      </w:pPr>
    </w:lvl>
    <w:lvl w:ilvl="3" w:tplc="0419000F" w:tentative="1">
      <w:start w:val="1"/>
      <w:numFmt w:val="decimal"/>
      <w:lvlText w:val="%4."/>
      <w:lvlJc w:val="left"/>
      <w:pPr>
        <w:ind w:left="2971" w:hanging="360"/>
      </w:pPr>
    </w:lvl>
    <w:lvl w:ilvl="4" w:tplc="04190019" w:tentative="1">
      <w:start w:val="1"/>
      <w:numFmt w:val="lowerLetter"/>
      <w:lvlText w:val="%5."/>
      <w:lvlJc w:val="left"/>
      <w:pPr>
        <w:ind w:left="3691" w:hanging="360"/>
      </w:pPr>
    </w:lvl>
    <w:lvl w:ilvl="5" w:tplc="0419001B" w:tentative="1">
      <w:start w:val="1"/>
      <w:numFmt w:val="lowerRoman"/>
      <w:lvlText w:val="%6."/>
      <w:lvlJc w:val="right"/>
      <w:pPr>
        <w:ind w:left="4411" w:hanging="180"/>
      </w:pPr>
    </w:lvl>
    <w:lvl w:ilvl="6" w:tplc="0419000F" w:tentative="1">
      <w:start w:val="1"/>
      <w:numFmt w:val="decimal"/>
      <w:lvlText w:val="%7."/>
      <w:lvlJc w:val="left"/>
      <w:pPr>
        <w:ind w:left="5131" w:hanging="360"/>
      </w:pPr>
    </w:lvl>
    <w:lvl w:ilvl="7" w:tplc="04190019" w:tentative="1">
      <w:start w:val="1"/>
      <w:numFmt w:val="lowerLetter"/>
      <w:lvlText w:val="%8."/>
      <w:lvlJc w:val="left"/>
      <w:pPr>
        <w:ind w:left="5851" w:hanging="360"/>
      </w:pPr>
    </w:lvl>
    <w:lvl w:ilvl="8" w:tplc="041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2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63BF7"/>
    <w:multiLevelType w:val="singleLevel"/>
    <w:tmpl w:val="8B024466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4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0F501EDF"/>
    <w:multiLevelType w:val="singleLevel"/>
    <w:tmpl w:val="06240E9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11C1C06"/>
    <w:multiLevelType w:val="singleLevel"/>
    <w:tmpl w:val="7DC6A3B4"/>
    <w:lvl w:ilvl="0">
      <w:start w:val="5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7">
    <w:nsid w:val="170D0B5B"/>
    <w:multiLevelType w:val="singleLevel"/>
    <w:tmpl w:val="94DC5D9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8">
    <w:nsid w:val="19701CD0"/>
    <w:multiLevelType w:val="hybridMultilevel"/>
    <w:tmpl w:val="A8E4DE8C"/>
    <w:lvl w:ilvl="0" w:tplc="CC26888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D075DEA"/>
    <w:multiLevelType w:val="hybridMultilevel"/>
    <w:tmpl w:val="D7F4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A43AB"/>
    <w:multiLevelType w:val="multilevel"/>
    <w:tmpl w:val="0A50161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1">
    <w:nsid w:val="24854C4E"/>
    <w:multiLevelType w:val="multilevel"/>
    <w:tmpl w:val="8522D1F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2">
    <w:nsid w:val="27715CA8"/>
    <w:multiLevelType w:val="singleLevel"/>
    <w:tmpl w:val="E580EB1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3">
    <w:nsid w:val="2E7D2EBE"/>
    <w:multiLevelType w:val="multilevel"/>
    <w:tmpl w:val="E7E629F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6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E866DE9"/>
    <w:multiLevelType w:val="singleLevel"/>
    <w:tmpl w:val="AAA0369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8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9">
    <w:nsid w:val="46A6232C"/>
    <w:multiLevelType w:val="singleLevel"/>
    <w:tmpl w:val="06240E9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0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7867581"/>
    <w:multiLevelType w:val="singleLevel"/>
    <w:tmpl w:val="35B83FC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2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3">
    <w:nsid w:val="657C0230"/>
    <w:multiLevelType w:val="singleLevel"/>
    <w:tmpl w:val="4C80629A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24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715B6D80"/>
    <w:multiLevelType w:val="singleLevel"/>
    <w:tmpl w:val="6B121E7C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7">
    <w:nsid w:val="759E77B0"/>
    <w:multiLevelType w:val="multilevel"/>
    <w:tmpl w:val="68E0F37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eastAsia="DejaVu Sans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eastAsia="DejaVu Sans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eastAsia="DejaVu Sans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eastAsia="DejaVu Sans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eastAsia="DejaVu Sans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eastAsia="DejaVu Sans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eastAsia="DejaVu Sans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eastAsia="DejaVu Sans" w:hint="default"/>
      </w:rPr>
    </w:lvl>
  </w:abstractNum>
  <w:abstractNum w:abstractNumId="28">
    <w:nsid w:val="76DB7081"/>
    <w:multiLevelType w:val="hybridMultilevel"/>
    <w:tmpl w:val="A51EE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E23B4"/>
    <w:multiLevelType w:val="singleLevel"/>
    <w:tmpl w:val="E118E560"/>
    <w:lvl w:ilvl="0">
      <w:start w:val="1"/>
      <w:numFmt w:val="decimal"/>
      <w:lvlText w:val="%1."/>
      <w:legacy w:legacy="1" w:legacySpace="0" w:legacyIndent="264"/>
      <w:lvlJc w:val="left"/>
      <w:rPr>
        <w:rFonts w:ascii="Times New Roman" w:eastAsia="Times New Roman" w:hAnsi="Times New Roman" w:cs="Times New Roman"/>
        <w:i w:val="0"/>
      </w:rPr>
    </w:lvl>
  </w:abstractNum>
  <w:abstractNum w:abstractNumId="31">
    <w:nsid w:val="7B0E1C19"/>
    <w:multiLevelType w:val="singleLevel"/>
    <w:tmpl w:val="26026966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2">
    <w:nsid w:val="7B1A743A"/>
    <w:multiLevelType w:val="hybridMultilevel"/>
    <w:tmpl w:val="2AE0336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2"/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7"/>
  </w:num>
  <w:num w:numId="9">
    <w:abstractNumId w:val="31"/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0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44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6"/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6"/>
    <w:lvlOverride w:ilvl="0">
      <w:lvl w:ilvl="0">
        <w:start w:val="4"/>
        <w:numFmt w:val="decimal"/>
        <w:lvlText w:val="%1.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6"/>
    <w:lvlOverride w:ilvl="0">
      <w:startOverride w:val="1"/>
    </w:lvlOverride>
  </w:num>
  <w:num w:numId="19">
    <w:abstractNumId w:val="15"/>
    <w:lvlOverride w:ilvl="0">
      <w:startOverride w:val="8"/>
    </w:lvlOverride>
  </w:num>
  <w:num w:numId="20">
    <w:abstractNumId w:val="8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16"/>
  </w:num>
  <w:num w:numId="23">
    <w:abstractNumId w:val="20"/>
  </w:num>
  <w:num w:numId="24">
    <w:abstractNumId w:val="13"/>
  </w:num>
  <w:num w:numId="25">
    <w:abstractNumId w:val="1"/>
  </w:num>
  <w:num w:numId="26">
    <w:abstractNumId w:val="17"/>
  </w:num>
  <w:num w:numId="27">
    <w:abstractNumId w:val="9"/>
  </w:num>
  <w:num w:numId="28">
    <w:abstractNumId w:val="32"/>
  </w:num>
  <w:num w:numId="29">
    <w:abstractNumId w:val="0"/>
    <w:lvlOverride w:ilvl="0">
      <w:lvl w:ilvl="0">
        <w:start w:val="65535"/>
        <w:numFmt w:val="bullet"/>
        <w:lvlText w:val="—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19"/>
  </w:num>
  <w:num w:numId="31">
    <w:abstractNumId w:val="5"/>
  </w:num>
  <w:num w:numId="32">
    <w:abstractNumId w:val="21"/>
  </w:num>
  <w:num w:numId="33">
    <w:abstractNumId w:val="23"/>
  </w:num>
  <w:num w:numId="34">
    <w:abstractNumId w:val="7"/>
  </w:num>
  <w:num w:numId="35">
    <w:abstractNumId w:val="10"/>
  </w:num>
  <w:num w:numId="36">
    <w:abstractNumId w:val="12"/>
  </w:num>
  <w:num w:numId="37">
    <w:abstractNumId w:val="25"/>
  </w:num>
  <w:num w:numId="38">
    <w:abstractNumId w:val="25"/>
    <w:lvlOverride w:ilvl="0">
      <w:startOverride w:val="1"/>
    </w:lvlOverride>
  </w:num>
  <w:num w:numId="39">
    <w:abstractNumId w:val="3"/>
  </w:num>
  <w:num w:numId="40">
    <w:abstractNumId w:val="18"/>
  </w:num>
  <w:num w:numId="41">
    <w:abstractNumId w:val="8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</w:num>
  <w:num w:numId="43">
    <w:abstractNumId w:val="4"/>
  </w:num>
  <w:num w:numId="44">
    <w:abstractNumId w:val="29"/>
  </w:num>
  <w:num w:numId="45">
    <w:abstractNumId w:val="24"/>
  </w:num>
  <w:num w:numId="46">
    <w:abstractNumId w:val="14"/>
  </w:num>
  <w:num w:numId="47">
    <w:abstractNumId w:val="2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790"/>
    <w:rsid w:val="00067BFD"/>
    <w:rsid w:val="00084A09"/>
    <w:rsid w:val="0009069B"/>
    <w:rsid w:val="000B2C32"/>
    <w:rsid w:val="000D7015"/>
    <w:rsid w:val="000E0CC3"/>
    <w:rsid w:val="00106E75"/>
    <w:rsid w:val="00183058"/>
    <w:rsid w:val="00186ADB"/>
    <w:rsid w:val="001D0E09"/>
    <w:rsid w:val="001D1E96"/>
    <w:rsid w:val="001F20FC"/>
    <w:rsid w:val="0025780B"/>
    <w:rsid w:val="0027192B"/>
    <w:rsid w:val="00285220"/>
    <w:rsid w:val="002953DF"/>
    <w:rsid w:val="00323DD6"/>
    <w:rsid w:val="00365E98"/>
    <w:rsid w:val="003A5439"/>
    <w:rsid w:val="003E37C8"/>
    <w:rsid w:val="003E7462"/>
    <w:rsid w:val="00422DC4"/>
    <w:rsid w:val="00430586"/>
    <w:rsid w:val="004503C5"/>
    <w:rsid w:val="004D0444"/>
    <w:rsid w:val="004F1163"/>
    <w:rsid w:val="00522595"/>
    <w:rsid w:val="00523848"/>
    <w:rsid w:val="00543AE8"/>
    <w:rsid w:val="00557A0D"/>
    <w:rsid w:val="00573F27"/>
    <w:rsid w:val="005B7B35"/>
    <w:rsid w:val="005F5E7A"/>
    <w:rsid w:val="006051E9"/>
    <w:rsid w:val="0061268D"/>
    <w:rsid w:val="006715D5"/>
    <w:rsid w:val="006A0C6F"/>
    <w:rsid w:val="006C5046"/>
    <w:rsid w:val="006E0158"/>
    <w:rsid w:val="00715CFE"/>
    <w:rsid w:val="00742011"/>
    <w:rsid w:val="0075474E"/>
    <w:rsid w:val="0078751B"/>
    <w:rsid w:val="00790685"/>
    <w:rsid w:val="007919FE"/>
    <w:rsid w:val="007B51FC"/>
    <w:rsid w:val="007E1109"/>
    <w:rsid w:val="007F1708"/>
    <w:rsid w:val="007F496D"/>
    <w:rsid w:val="008A0AA2"/>
    <w:rsid w:val="008B4324"/>
    <w:rsid w:val="00911BB9"/>
    <w:rsid w:val="009274BA"/>
    <w:rsid w:val="00933915"/>
    <w:rsid w:val="009627FB"/>
    <w:rsid w:val="00991CD3"/>
    <w:rsid w:val="009A1EC4"/>
    <w:rsid w:val="009E4619"/>
    <w:rsid w:val="00A02D31"/>
    <w:rsid w:val="00A046DA"/>
    <w:rsid w:val="00A57221"/>
    <w:rsid w:val="00A62D55"/>
    <w:rsid w:val="00A74815"/>
    <w:rsid w:val="00A84F0B"/>
    <w:rsid w:val="00A90111"/>
    <w:rsid w:val="00AA2027"/>
    <w:rsid w:val="00AB4426"/>
    <w:rsid w:val="00AC73FD"/>
    <w:rsid w:val="00AE69EF"/>
    <w:rsid w:val="00AF38BA"/>
    <w:rsid w:val="00B81115"/>
    <w:rsid w:val="00B91D2A"/>
    <w:rsid w:val="00BA5DE6"/>
    <w:rsid w:val="00BC5944"/>
    <w:rsid w:val="00BE2FE1"/>
    <w:rsid w:val="00C054F1"/>
    <w:rsid w:val="00C171FC"/>
    <w:rsid w:val="00C60DF6"/>
    <w:rsid w:val="00C70F78"/>
    <w:rsid w:val="00CA27A4"/>
    <w:rsid w:val="00CB7733"/>
    <w:rsid w:val="00CB7F50"/>
    <w:rsid w:val="00CC272F"/>
    <w:rsid w:val="00CC7790"/>
    <w:rsid w:val="00CD6B9E"/>
    <w:rsid w:val="00CF4911"/>
    <w:rsid w:val="00D07965"/>
    <w:rsid w:val="00D610FF"/>
    <w:rsid w:val="00D83766"/>
    <w:rsid w:val="00DA2D92"/>
    <w:rsid w:val="00DB6EE2"/>
    <w:rsid w:val="00DC3344"/>
    <w:rsid w:val="00DC627A"/>
    <w:rsid w:val="00E23CFA"/>
    <w:rsid w:val="00E73D21"/>
    <w:rsid w:val="00E81ABC"/>
    <w:rsid w:val="00EA3312"/>
    <w:rsid w:val="00ED6D6D"/>
    <w:rsid w:val="00F05433"/>
    <w:rsid w:val="00F12A13"/>
    <w:rsid w:val="00F625AF"/>
    <w:rsid w:val="00F74078"/>
    <w:rsid w:val="00F86645"/>
    <w:rsid w:val="00FB1D66"/>
    <w:rsid w:val="00FD0A11"/>
    <w:rsid w:val="00FF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63"/>
  </w:style>
  <w:style w:type="paragraph" w:styleId="1">
    <w:name w:val="heading 1"/>
    <w:basedOn w:val="a"/>
    <w:next w:val="a"/>
    <w:link w:val="10"/>
    <w:qFormat/>
    <w:rsid w:val="00AF38BA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38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AF38BA"/>
  </w:style>
  <w:style w:type="paragraph" w:customStyle="1" w:styleId="Style1">
    <w:name w:val="Style1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AF38BA"/>
    <w:pPr>
      <w:widowControl w:val="0"/>
      <w:autoSpaceDE w:val="0"/>
      <w:autoSpaceDN w:val="0"/>
      <w:adjustRightInd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AF38B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AF38BA"/>
    <w:pPr>
      <w:widowControl w:val="0"/>
      <w:autoSpaceDE w:val="0"/>
      <w:autoSpaceDN w:val="0"/>
      <w:adjustRightInd w:val="0"/>
      <w:spacing w:after="0" w:line="38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6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AF38B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2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AF38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AF38BA"/>
    <w:pPr>
      <w:widowControl w:val="0"/>
      <w:autoSpaceDE w:val="0"/>
      <w:autoSpaceDN w:val="0"/>
      <w:adjustRightInd w:val="0"/>
      <w:spacing w:after="0" w:line="26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5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AF38BA"/>
    <w:pPr>
      <w:widowControl w:val="0"/>
      <w:autoSpaceDE w:val="0"/>
      <w:autoSpaceDN w:val="0"/>
      <w:adjustRightInd w:val="0"/>
      <w:spacing w:after="0" w:line="278" w:lineRule="exact"/>
      <w:ind w:firstLine="3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25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hanging="12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F38B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3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23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AF38BA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5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2">
    <w:name w:val="Style42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70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3">
    <w:name w:val="Style43"/>
    <w:basedOn w:val="a"/>
    <w:rsid w:val="00AF38BA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27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AF38BA"/>
    <w:pPr>
      <w:widowControl w:val="0"/>
      <w:autoSpaceDE w:val="0"/>
      <w:autoSpaceDN w:val="0"/>
      <w:adjustRightInd w:val="0"/>
      <w:spacing w:after="0" w:line="264" w:lineRule="exact"/>
      <w:ind w:hanging="1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9">
    <w:name w:val="Style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hanging="20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66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8">
    <w:name w:val="Style58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4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9">
    <w:name w:val="Style5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0">
    <w:name w:val="Style6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7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1">
    <w:name w:val="Style6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AF38BA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3">
    <w:name w:val="Style6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5">
    <w:name w:val="Style65"/>
    <w:basedOn w:val="a"/>
    <w:rsid w:val="00AF38BA"/>
    <w:pPr>
      <w:widowControl w:val="0"/>
      <w:autoSpaceDE w:val="0"/>
      <w:autoSpaceDN w:val="0"/>
      <w:adjustRightInd w:val="0"/>
      <w:spacing w:after="0" w:line="394" w:lineRule="exact"/>
      <w:ind w:firstLine="4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8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7">
    <w:name w:val="Style6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2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8">
    <w:name w:val="Style6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0">
    <w:name w:val="Style7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1">
    <w:name w:val="Style7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2">
    <w:name w:val="Style72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4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3">
    <w:name w:val="Style7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8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5">
    <w:name w:val="Style7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3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6">
    <w:name w:val="Style7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7">
    <w:name w:val="Style7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8">
    <w:name w:val="Style7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0">
    <w:name w:val="Style8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1">
    <w:name w:val="Style81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9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2">
    <w:name w:val="Style8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4">
    <w:name w:val="Style8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5">
    <w:name w:val="Style8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6">
    <w:name w:val="Style8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7">
    <w:name w:val="Style8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8">
    <w:name w:val="Style8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9">
    <w:name w:val="Style8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9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2">
    <w:name w:val="Style9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3">
    <w:name w:val="Style9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4">
    <w:name w:val="Style9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6">
    <w:name w:val="Style96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177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7">
    <w:name w:val="Style9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9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8">
    <w:name w:val="Style9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9">
    <w:name w:val="Style9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1">
    <w:name w:val="Style10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3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2">
    <w:name w:val="Style10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4">
    <w:name w:val="Style10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5">
    <w:name w:val="Style10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6">
    <w:name w:val="Style10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7">
    <w:name w:val="Style107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8">
    <w:name w:val="Style10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9">
    <w:name w:val="Style109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53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0">
    <w:name w:val="Style1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1">
    <w:name w:val="Style111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22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2">
    <w:name w:val="Style11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3">
    <w:name w:val="Style11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4">
    <w:name w:val="Style11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5">
    <w:name w:val="Style11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6">
    <w:name w:val="Style11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7">
    <w:name w:val="Style11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8">
    <w:name w:val="Style11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9">
    <w:name w:val="Style119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0">
    <w:name w:val="Style12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1">
    <w:name w:val="Style1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2">
    <w:name w:val="Style12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3">
    <w:name w:val="Style1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4">
    <w:name w:val="Style12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5">
    <w:name w:val="Style12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6">
    <w:name w:val="Style12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7">
    <w:name w:val="Style12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8">
    <w:name w:val="Style1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9">
    <w:name w:val="Style1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0">
    <w:name w:val="Style130"/>
    <w:basedOn w:val="a"/>
    <w:rsid w:val="00AF38BA"/>
    <w:pPr>
      <w:widowControl w:val="0"/>
      <w:autoSpaceDE w:val="0"/>
      <w:autoSpaceDN w:val="0"/>
      <w:adjustRightInd w:val="0"/>
      <w:spacing w:after="0" w:line="398" w:lineRule="exact"/>
      <w:ind w:firstLine="1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1">
    <w:name w:val="Style13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2">
    <w:name w:val="Style13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3">
    <w:name w:val="Style13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5">
    <w:name w:val="Style13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6">
    <w:name w:val="Style1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8">
    <w:name w:val="Style13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9">
    <w:name w:val="Style13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195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0">
    <w:name w:val="Style140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41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1">
    <w:name w:val="Style14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2">
    <w:name w:val="Style14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3">
    <w:name w:val="Style14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4">
    <w:name w:val="Style1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5">
    <w:name w:val="Style1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7">
    <w:name w:val="Style14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8">
    <w:name w:val="Style14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9">
    <w:name w:val="Style1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0">
    <w:name w:val="Style15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1">
    <w:name w:val="Style1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2">
    <w:name w:val="Style15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3">
    <w:name w:val="Style1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4">
    <w:name w:val="Style15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5">
    <w:name w:val="Style15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6">
    <w:name w:val="Style15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rsid w:val="00AF38BA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AF38BA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AF38B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AF38B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AF38B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AF38BA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AF38BA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AF38BA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AF38B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AF38B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AF38BA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AF38BA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AF38BA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AF38B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AF38BA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AF38BA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9">
    <w:name w:val="Table Grid"/>
    <w:basedOn w:val="a1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Таблица"/>
    <w:basedOn w:val="a"/>
    <w:qFormat/>
    <w:rsid w:val="00AF38B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4">
    <w:name w:val="Сетка таблицы4"/>
    <w:basedOn w:val="a1"/>
    <w:next w:val="a9"/>
    <w:uiPriority w:val="99"/>
    <w:rsid w:val="00AF38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F38B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FontStyle18">
    <w:name w:val="Font Style18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AF38BA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WWNum1">
    <w:name w:val="WWNum1"/>
    <w:basedOn w:val="a2"/>
    <w:rsid w:val="00AF38BA"/>
    <w:pPr>
      <w:numPr>
        <w:numId w:val="37"/>
      </w:numPr>
    </w:pPr>
  </w:style>
  <w:style w:type="character" w:styleId="ac">
    <w:name w:val="annotation reference"/>
    <w:rsid w:val="00AF38BA"/>
    <w:rPr>
      <w:sz w:val="16"/>
      <w:szCs w:val="16"/>
    </w:rPr>
  </w:style>
  <w:style w:type="paragraph" w:styleId="ad">
    <w:name w:val="annotation text"/>
    <w:basedOn w:val="a"/>
    <w:link w:val="ae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AF38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rsid w:val="00AF38BA"/>
    <w:rPr>
      <w:b/>
      <w:bCs/>
      <w:lang w:val="x-none" w:eastAsia="x-none"/>
    </w:rPr>
  </w:style>
  <w:style w:type="character" w:customStyle="1" w:styleId="af0">
    <w:name w:val="Тема примечания Знак"/>
    <w:basedOn w:val="ae"/>
    <w:link w:val="af"/>
    <w:rsid w:val="00AF38B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numbering" w:customStyle="1" w:styleId="WWNum11">
    <w:name w:val="WWNum11"/>
    <w:basedOn w:val="a2"/>
    <w:rsid w:val="00AF38BA"/>
  </w:style>
  <w:style w:type="paragraph" w:customStyle="1" w:styleId="Default">
    <w:name w:val="Default"/>
    <w:rsid w:val="00F625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9"/>
    <w:uiPriority w:val="59"/>
    <w:rsid w:val="00F6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90685"/>
    <w:pPr>
      <w:ind w:left="720"/>
      <w:contextualSpacing/>
    </w:pPr>
  </w:style>
  <w:style w:type="paragraph" w:customStyle="1" w:styleId="110">
    <w:name w:val="Знак1 Знак Знак Знак1"/>
    <w:basedOn w:val="a"/>
    <w:rsid w:val="007F496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11">
    <w:name w:val="Знак1 Знак Знак Знак1"/>
    <w:basedOn w:val="a"/>
    <w:rsid w:val="003E746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rsid w:val="00AC73FD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AC73FD"/>
    <w:rPr>
      <w:rFonts w:ascii="Calibri" w:eastAsia="Times New Roman" w:hAnsi="Calibri" w:cs="Times New Roman"/>
      <w:sz w:val="16"/>
      <w:szCs w:val="16"/>
      <w:lang w:eastAsia="ru-RU"/>
    </w:rPr>
  </w:style>
  <w:style w:type="paragraph" w:styleId="af2">
    <w:name w:val="Normal (Web)"/>
    <w:basedOn w:val="a"/>
    <w:uiPriority w:val="99"/>
    <w:semiHidden/>
    <w:unhideWhenUsed/>
    <w:rsid w:val="001D1E9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63"/>
  </w:style>
  <w:style w:type="paragraph" w:styleId="1">
    <w:name w:val="heading 1"/>
    <w:basedOn w:val="a"/>
    <w:next w:val="a"/>
    <w:link w:val="10"/>
    <w:qFormat/>
    <w:rsid w:val="00AF38BA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38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AF38BA"/>
  </w:style>
  <w:style w:type="paragraph" w:customStyle="1" w:styleId="Style1">
    <w:name w:val="Style1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AF38BA"/>
    <w:pPr>
      <w:widowControl w:val="0"/>
      <w:autoSpaceDE w:val="0"/>
      <w:autoSpaceDN w:val="0"/>
      <w:adjustRightInd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AF38B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AF38BA"/>
    <w:pPr>
      <w:widowControl w:val="0"/>
      <w:autoSpaceDE w:val="0"/>
      <w:autoSpaceDN w:val="0"/>
      <w:adjustRightInd w:val="0"/>
      <w:spacing w:after="0" w:line="38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6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AF38B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2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AF38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AF38BA"/>
    <w:pPr>
      <w:widowControl w:val="0"/>
      <w:autoSpaceDE w:val="0"/>
      <w:autoSpaceDN w:val="0"/>
      <w:adjustRightInd w:val="0"/>
      <w:spacing w:after="0" w:line="26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5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AF38BA"/>
    <w:pPr>
      <w:widowControl w:val="0"/>
      <w:autoSpaceDE w:val="0"/>
      <w:autoSpaceDN w:val="0"/>
      <w:adjustRightInd w:val="0"/>
      <w:spacing w:after="0" w:line="278" w:lineRule="exact"/>
      <w:ind w:firstLine="3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25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hanging="12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F38B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3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23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AF38BA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5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2">
    <w:name w:val="Style42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70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3">
    <w:name w:val="Style43"/>
    <w:basedOn w:val="a"/>
    <w:rsid w:val="00AF38BA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27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AF38BA"/>
    <w:pPr>
      <w:widowControl w:val="0"/>
      <w:autoSpaceDE w:val="0"/>
      <w:autoSpaceDN w:val="0"/>
      <w:adjustRightInd w:val="0"/>
      <w:spacing w:after="0" w:line="264" w:lineRule="exact"/>
      <w:ind w:hanging="1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9">
    <w:name w:val="Style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hanging="20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66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8">
    <w:name w:val="Style58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4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9">
    <w:name w:val="Style5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0">
    <w:name w:val="Style6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7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1">
    <w:name w:val="Style6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AF38BA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3">
    <w:name w:val="Style6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5">
    <w:name w:val="Style65"/>
    <w:basedOn w:val="a"/>
    <w:rsid w:val="00AF38BA"/>
    <w:pPr>
      <w:widowControl w:val="0"/>
      <w:autoSpaceDE w:val="0"/>
      <w:autoSpaceDN w:val="0"/>
      <w:adjustRightInd w:val="0"/>
      <w:spacing w:after="0" w:line="394" w:lineRule="exact"/>
      <w:ind w:firstLine="4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8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7">
    <w:name w:val="Style6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2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8">
    <w:name w:val="Style6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0">
    <w:name w:val="Style7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1">
    <w:name w:val="Style7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2">
    <w:name w:val="Style72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4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3">
    <w:name w:val="Style7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8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5">
    <w:name w:val="Style7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3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6">
    <w:name w:val="Style7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7">
    <w:name w:val="Style7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8">
    <w:name w:val="Style7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0">
    <w:name w:val="Style8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1">
    <w:name w:val="Style81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9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2">
    <w:name w:val="Style8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4">
    <w:name w:val="Style8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5">
    <w:name w:val="Style8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6">
    <w:name w:val="Style8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7">
    <w:name w:val="Style8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8">
    <w:name w:val="Style8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9">
    <w:name w:val="Style8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9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2">
    <w:name w:val="Style9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3">
    <w:name w:val="Style9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4">
    <w:name w:val="Style9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6">
    <w:name w:val="Style96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177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7">
    <w:name w:val="Style9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9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8">
    <w:name w:val="Style9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9">
    <w:name w:val="Style9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1">
    <w:name w:val="Style10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3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2">
    <w:name w:val="Style10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4">
    <w:name w:val="Style10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5">
    <w:name w:val="Style10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6">
    <w:name w:val="Style10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7">
    <w:name w:val="Style107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8">
    <w:name w:val="Style10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9">
    <w:name w:val="Style109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53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0">
    <w:name w:val="Style1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1">
    <w:name w:val="Style111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22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2">
    <w:name w:val="Style11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3">
    <w:name w:val="Style11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4">
    <w:name w:val="Style11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5">
    <w:name w:val="Style11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6">
    <w:name w:val="Style11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7">
    <w:name w:val="Style11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8">
    <w:name w:val="Style11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9">
    <w:name w:val="Style119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0">
    <w:name w:val="Style12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1">
    <w:name w:val="Style1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2">
    <w:name w:val="Style12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3">
    <w:name w:val="Style1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4">
    <w:name w:val="Style12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5">
    <w:name w:val="Style12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6">
    <w:name w:val="Style12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7">
    <w:name w:val="Style12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8">
    <w:name w:val="Style1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9">
    <w:name w:val="Style1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0">
    <w:name w:val="Style130"/>
    <w:basedOn w:val="a"/>
    <w:rsid w:val="00AF38BA"/>
    <w:pPr>
      <w:widowControl w:val="0"/>
      <w:autoSpaceDE w:val="0"/>
      <w:autoSpaceDN w:val="0"/>
      <w:adjustRightInd w:val="0"/>
      <w:spacing w:after="0" w:line="398" w:lineRule="exact"/>
      <w:ind w:firstLine="1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1">
    <w:name w:val="Style13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2">
    <w:name w:val="Style13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3">
    <w:name w:val="Style13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5">
    <w:name w:val="Style13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6">
    <w:name w:val="Style1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8">
    <w:name w:val="Style13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9">
    <w:name w:val="Style13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195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0">
    <w:name w:val="Style140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41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1">
    <w:name w:val="Style14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2">
    <w:name w:val="Style14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3">
    <w:name w:val="Style14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4">
    <w:name w:val="Style1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5">
    <w:name w:val="Style1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7">
    <w:name w:val="Style14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8">
    <w:name w:val="Style14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9">
    <w:name w:val="Style1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0">
    <w:name w:val="Style15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1">
    <w:name w:val="Style1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2">
    <w:name w:val="Style15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3">
    <w:name w:val="Style1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4">
    <w:name w:val="Style15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5">
    <w:name w:val="Style15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6">
    <w:name w:val="Style15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rsid w:val="00AF38BA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AF38BA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AF38B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AF38B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AF38B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AF38BA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AF38BA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AF38BA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AF38B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AF38B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AF38BA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AF38BA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AF38BA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AF38B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AF38BA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AF38BA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9">
    <w:name w:val="Table Grid"/>
    <w:basedOn w:val="a1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Таблица"/>
    <w:basedOn w:val="a"/>
    <w:qFormat/>
    <w:rsid w:val="00AF38B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4">
    <w:name w:val="Сетка таблицы4"/>
    <w:basedOn w:val="a1"/>
    <w:next w:val="a9"/>
    <w:uiPriority w:val="99"/>
    <w:rsid w:val="00AF38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F38B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FontStyle18">
    <w:name w:val="Font Style18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AF38BA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WWNum1">
    <w:name w:val="WWNum1"/>
    <w:basedOn w:val="a2"/>
    <w:rsid w:val="00AF38BA"/>
    <w:pPr>
      <w:numPr>
        <w:numId w:val="37"/>
      </w:numPr>
    </w:pPr>
  </w:style>
  <w:style w:type="character" w:styleId="ac">
    <w:name w:val="annotation reference"/>
    <w:rsid w:val="00AF38BA"/>
    <w:rPr>
      <w:sz w:val="16"/>
      <w:szCs w:val="16"/>
    </w:rPr>
  </w:style>
  <w:style w:type="paragraph" w:styleId="ad">
    <w:name w:val="annotation text"/>
    <w:basedOn w:val="a"/>
    <w:link w:val="ae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AF38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rsid w:val="00AF38BA"/>
    <w:rPr>
      <w:b/>
      <w:bCs/>
      <w:lang w:val="x-none" w:eastAsia="x-none"/>
    </w:rPr>
  </w:style>
  <w:style w:type="character" w:customStyle="1" w:styleId="af0">
    <w:name w:val="Тема примечания Знак"/>
    <w:basedOn w:val="ae"/>
    <w:link w:val="af"/>
    <w:rsid w:val="00AF38B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numbering" w:customStyle="1" w:styleId="WWNum11">
    <w:name w:val="WWNum11"/>
    <w:basedOn w:val="a2"/>
    <w:rsid w:val="00AF38BA"/>
  </w:style>
  <w:style w:type="paragraph" w:customStyle="1" w:styleId="Default">
    <w:name w:val="Default"/>
    <w:rsid w:val="00F625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9"/>
    <w:uiPriority w:val="59"/>
    <w:rsid w:val="00F6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90685"/>
    <w:pPr>
      <w:ind w:left="720"/>
      <w:contextualSpacing/>
    </w:pPr>
  </w:style>
  <w:style w:type="paragraph" w:customStyle="1" w:styleId="110">
    <w:name w:val="Знак1 Знак Знак Знак1"/>
    <w:basedOn w:val="a"/>
    <w:rsid w:val="007F496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11">
    <w:name w:val="Знак1 Знак Знак Знак1"/>
    <w:basedOn w:val="a"/>
    <w:rsid w:val="003E746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rsid w:val="00AC73FD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AC73FD"/>
    <w:rPr>
      <w:rFonts w:ascii="Calibri" w:eastAsia="Times New Roman" w:hAnsi="Calibri" w:cs="Times New Roman"/>
      <w:sz w:val="16"/>
      <w:szCs w:val="16"/>
      <w:lang w:eastAsia="ru-RU"/>
    </w:rPr>
  </w:style>
  <w:style w:type="paragraph" w:styleId="af2">
    <w:name w:val="Normal (Web)"/>
    <w:basedOn w:val="a"/>
    <w:uiPriority w:val="99"/>
    <w:semiHidden/>
    <w:unhideWhenUsed/>
    <w:rsid w:val="001D1E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400"/>
            </a:pPr>
            <a:r>
              <a:rPr lang="ru-RU" sz="1400"/>
              <a:t> 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Динамика отгрузки  промышленной продукции,  тыс. руб.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 w="19050" cap="flat" cmpd="sng" algn="ctr">
          <a:solidFill>
            <a:schemeClr val="tx1">
              <a:lumMod val="25000"/>
              <a:lumOff val="75000"/>
            </a:schemeClr>
          </a:solidFill>
          <a:round/>
        </a:ln>
        <a:effectLst/>
        <a:sp3d contourW="19050">
          <a:contourClr>
            <a:schemeClr val="tx1">
              <a:lumMod val="25000"/>
              <a:lumOff val="75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648840769903763"/>
          <c:y val="0.33247365818403135"/>
          <c:w val="0.8435115923009624"/>
          <c:h val="0.5861672943056032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Лист1!$B$6</c:f>
              <c:strCache>
                <c:ptCount val="1"/>
                <c:pt idx="0">
                  <c:v> Динамика отгрузки  промышленной продукции,  тыс. руб.</c:v>
                </c:pt>
              </c:strCache>
            </c:strRef>
          </c:tx>
          <c:spPr>
            <a:pattFill prst="ltDnDiag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solidFill>
                <a:schemeClr val="accent1"/>
              </a:solidFill>
            </a:ln>
            <a:effectLst/>
            <a:sp3d>
              <a:contourClr>
                <a:schemeClr val="accent1"/>
              </a:contourClr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Лист1!$A$7:$A$10</c:f>
              <c:strCach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2018(ожид)</c:v>
                </c:pt>
              </c:strCache>
            </c:strRef>
          </c:cat>
          <c:val>
            <c:numRef>
              <c:f>Лист1!$B$7:$B$10</c:f>
              <c:numCache>
                <c:formatCode>General</c:formatCode>
                <c:ptCount val="4"/>
                <c:pt idx="0">
                  <c:v>24234908</c:v>
                </c:pt>
                <c:pt idx="1">
                  <c:v>25737727</c:v>
                </c:pt>
                <c:pt idx="2">
                  <c:v>28343620</c:v>
                </c:pt>
                <c:pt idx="3">
                  <c:v>31085874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15690496"/>
        <c:axId val="169940096"/>
        <c:axId val="0"/>
      </c:bar3DChart>
      <c:catAx>
        <c:axId val="115690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69940096"/>
        <c:crosses val="autoZero"/>
        <c:auto val="1"/>
        <c:lblAlgn val="ctr"/>
        <c:lblOffset val="100"/>
        <c:noMultiLvlLbl val="0"/>
      </c:catAx>
      <c:valAx>
        <c:axId val="169940096"/>
        <c:scaling>
          <c:orientation val="minMax"/>
        </c:scaling>
        <c:delete val="0"/>
        <c:axPos val="l"/>
        <c:majorGridlines>
          <c:spPr>
            <a:ln>
              <a:solidFill>
                <a:schemeClr val="tx1">
                  <a:lumMod val="15000"/>
                  <a:lumOff val="85000"/>
                </a:schemeClr>
              </a:solidFill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156904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chemeClr val="tx1"/>
          </a:solidFill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24</Pages>
  <Words>9011</Words>
  <Characters>51365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27</cp:revision>
  <cp:lastPrinted>2018-12-29T09:54:00Z</cp:lastPrinted>
  <dcterms:created xsi:type="dcterms:W3CDTF">2018-11-29T09:53:00Z</dcterms:created>
  <dcterms:modified xsi:type="dcterms:W3CDTF">2019-01-11T08:55:00Z</dcterms:modified>
</cp:coreProperties>
</file>