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0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color w:val="000000"/>
          <w:sz w:val="20"/>
          <w:szCs w:val="20"/>
          <w:lang w:eastAsia="en-US"/>
        </w:rPr>
        <w:t>Приложение</w:t>
      </w:r>
      <w:r/>
    </w:p>
    <w:p>
      <w:pPr>
        <w:pStyle w:val="Normal"/>
        <w:ind w:left="7080" w:hanging="0"/>
        <w:jc w:val="both"/>
        <w:rPr>
          <w:sz w:val="20"/>
          <w:u w:val="single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 xml:space="preserve">к письму ОПФР от </w:t>
      </w:r>
      <w:r>
        <w:rPr>
          <w:b/>
          <w:color w:val="000000"/>
          <w:sz w:val="20"/>
          <w:szCs w:val="20"/>
          <w:u w:val="single"/>
          <w:lang w:eastAsia="en-US"/>
        </w:rPr>
        <w:t>23.06.2017г</w:t>
      </w:r>
      <w:r>
        <w:rPr>
          <w:b/>
          <w:color w:val="000000"/>
          <w:sz w:val="20"/>
          <w:szCs w:val="20"/>
          <w:lang w:eastAsia="en-US"/>
        </w:rPr>
        <w:t>. №</w:t>
      </w:r>
      <w:r>
        <w:rPr>
          <w:b/>
          <w:color w:val="000000"/>
          <w:sz w:val="20"/>
          <w:szCs w:val="20"/>
          <w:u w:val="single"/>
          <w:lang w:eastAsia="en-US"/>
        </w:rPr>
        <w:t>12/2301</w:t>
      </w:r>
      <w:r/>
    </w:p>
    <w:p>
      <w:pPr>
        <w:pStyle w:val="Normal"/>
        <w:ind w:firstLine="540"/>
        <w:jc w:val="center"/>
        <w:rPr>
          <w:sz w:val="20"/>
          <w:b/>
          <w:sz w:val="20"/>
          <w:b/>
          <w:szCs w:val="20"/>
          <w:rFonts w:ascii="Times New Roman" w:hAnsi="Times New Roman" w:eastAsia="Times New Roman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</w:r>
      <w:r/>
    </w:p>
    <w:p>
      <w:pPr>
        <w:pStyle w:val="Normal"/>
        <w:ind w:firstLine="540"/>
        <w:jc w:val="center"/>
        <w:rPr>
          <w:sz w:val="20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>Памятка</w:t>
      </w:r>
      <w:r/>
    </w:p>
    <w:p>
      <w:pPr>
        <w:pStyle w:val="Normal"/>
        <w:ind w:firstLine="540"/>
        <w:jc w:val="center"/>
        <w:rPr>
          <w:sz w:val="20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 xml:space="preserve">об особенностях расчета средств пенсионных накоплений, подлежащих передаче текущим страховщиком по обязательному пенсионному страхованию новому страховщику по заявлениям застрахованных лиц </w:t>
      </w:r>
      <w:r/>
    </w:p>
    <w:p>
      <w:pPr>
        <w:pStyle w:val="Normal"/>
        <w:ind w:firstLine="540"/>
        <w:jc w:val="center"/>
        <w:rPr>
          <w:sz w:val="20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>о переходе и досрочном переходе, поданным в 2017 году.</w:t>
      </w:r>
      <w:r/>
    </w:p>
    <w:tbl>
      <w:tblPr>
        <w:tblW w:w="11336" w:type="dxa"/>
        <w:jc w:val="left"/>
        <w:tblInd w:w="-17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3"/>
        <w:gridCol w:w="2550"/>
        <w:gridCol w:w="4649"/>
        <w:gridCol w:w="2233"/>
      </w:tblGrid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Год начала формирования пенсионных накоплений (СПН) застрахованным лицом у текущего страховщика </w:t>
            </w:r>
            <w:r/>
          </w:p>
          <w:p>
            <w:pPr>
              <w:pStyle w:val="Normal"/>
              <w:jc w:val="center"/>
              <w:rPr>
                <w:sz w:val="25"/>
                <w:b/>
                <w:sz w:val="25"/>
                <w:b/>
                <w:szCs w:val="25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(ПФР / НПФ)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Сроки отражения текущим страховщиком суммы первой пятилетней фиксации средств пенсионных накоплений*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(соответствуют наиболее благоприятному году подачи заявления</w:t>
            </w:r>
            <w:r/>
          </w:p>
          <w:p>
            <w:pPr>
              <w:pStyle w:val="Normal"/>
              <w:jc w:val="center"/>
              <w:rPr>
                <w:sz w:val="25"/>
                <w:b/>
                <w:sz w:val="25"/>
                <w:b/>
                <w:szCs w:val="25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о досрочном переходе)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Порядок расчета средств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пенсионных накоплений,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подлежащих передаче выбранному страховщику  в 2018 году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заявлениям застрахованных лиц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о досрочном переходе, </w:t>
            </w:r>
            <w:r/>
          </w:p>
          <w:p>
            <w:pPr>
              <w:pStyle w:val="Normal"/>
              <w:jc w:val="center"/>
              <w:rPr>
                <w:sz w:val="25"/>
                <w:b/>
                <w:sz w:val="25"/>
                <w:b/>
                <w:szCs w:val="25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поданным в 2017 году</w:t>
            </w:r>
            <w:r/>
          </w:p>
        </w:tc>
        <w:tc>
          <w:tcPr>
            <w:tcW w:w="2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Порядок расчета СПН,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подлежащих передаче в 2022 году по заявлениям застрахованных лиц </w:t>
            </w:r>
            <w:r/>
          </w:p>
          <w:p>
            <w:pPr>
              <w:pStyle w:val="Normal"/>
              <w:jc w:val="center"/>
              <w:rPr>
                <w:sz w:val="25"/>
                <w:b/>
                <w:sz w:val="25"/>
                <w:b/>
                <w:szCs w:val="25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о переходе (пятилетние заявления), поданным в 2017 году</w:t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2011 и ранее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2015 года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FF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 инвестирования в 2016-2017 годах,</w:t>
            </w:r>
            <w:r>
              <w:rPr>
                <w:b/>
                <w:color w:val="0000FF"/>
                <w:sz w:val="20"/>
                <w:szCs w:val="20"/>
                <w:lang w:eastAsia="en-US"/>
              </w:rPr>
              <w:t xml:space="preserve">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СПН, отраженная в год первой пятилетней фиксации СПН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(31.12.2015)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,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инвестиционного дохода 2016 -2017 годы;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инвестирования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за 2016 -2017 годы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 СПН, отраженная в год первой пятилетней фиксации СПН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(31.12.2015)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полученного в 2016-2017 годах убытка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от инвестирования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восполнения.</w:t>
            </w:r>
            <w:r/>
          </w:p>
        </w:tc>
        <w:tc>
          <w:tcPr>
            <w:tcW w:w="223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в 2022 году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будут переданы средства пенсионных накоплений, отраженные в специальной части индивидуального лицевого счета застрахованного лица на дату перевода СПН, включая: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в случае положительного результата инвестирования -полученный инвестиционный доход;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в случае отрицательного результата инвестирования - гарантийное восполнение инвестиционного убытка </w:t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2012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2016года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инвестирования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СПН, отраженная в год первой пятилетней фиксации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(31.12.2016)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,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 инвестиционного дохода за 2017 год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 инвестирования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фактически сформированная сумма СПН в год первой пятилетней фиксации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(31.12.2016)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полученного в 2017 году убытка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от инвестирования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восполнения.</w:t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2013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2017 года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инвестирования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 СПН, отраженная в год первой пятилетней фиксации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(31.12.2017)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и инвестиционный доход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инвестирования новому страховщику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фактически сформированная сумма  СПН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с учетом гарантийного восполнения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инвестиционного убытка.</w:t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  <w:tr>
        <w:trPr>
          <w:trHeight w:val="1084" w:hRule="atLeast"/>
        </w:trPr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2014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2018 года</w:t>
            </w:r>
            <w:r/>
          </w:p>
        </w:tc>
        <w:tc>
          <w:tcPr>
            <w:tcW w:w="464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инвестирования в 2015-2017 годах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 фактически сформированные СПН,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 инвестиционного дохода за 2015-2017 годы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 инвестирования в 2015-2017 годах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новому страховщику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сформированная  СПН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с учетом полученного в 2015-2017 годах убытка от инвестирования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восполнения.</w:t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2015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2019 года</w:t>
            </w:r>
            <w:r/>
          </w:p>
        </w:tc>
        <w:tc>
          <w:tcPr>
            <w:tcW w:w="464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2016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2020 года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 инвестирования в 2016 -2017годах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инвестиционного дохода за 2016 -2017 годы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) В случае отрицательного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инвестирования в 2016-2017 годах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с учетом полученного в 2016-2017 годах убытка от инвестирования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</w:t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  <w:tr>
        <w:trPr/>
        <w:tc>
          <w:tcPr>
            <w:tcW w:w="1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2017</w:t>
            </w:r>
            <w:r/>
          </w:p>
        </w:tc>
        <w:tc>
          <w:tcPr>
            <w:tcW w:w="2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на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2021 года</w:t>
            </w:r>
            <w:r/>
          </w:p>
        </w:tc>
        <w:tc>
          <w:tcPr>
            <w:tcW w:w="4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 инвестирования в 2017году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инвестиционного дохода за 2017 год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) В случае отрицательного результата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инвестирования в 2017 году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полученного в 2017 году 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убытка от инвестирования</w:t>
            </w:r>
            <w:r/>
          </w:p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color w:val="FF000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</w:t>
            </w:r>
            <w:r/>
          </w:p>
        </w:tc>
        <w:tc>
          <w:tcPr>
            <w:tcW w:w="223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/>
                <w:color w:val="00000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</w:r>
            <w:r/>
          </w:p>
        </w:tc>
      </w:tr>
    </w:tbl>
    <w:p>
      <w:pPr>
        <w:pStyle w:val="Normal"/>
        <w:jc w:val="both"/>
        <w:rPr>
          <w:sz w:val="20"/>
          <w:b/>
          <w:sz w:val="20"/>
          <w:b/>
          <w:szCs w:val="20"/>
          <w:rFonts w:ascii="Times New Roman" w:hAnsi="Times New Roman" w:eastAsia="Times New Roman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</w:r>
      <w:r/>
    </w:p>
    <w:p>
      <w:pPr>
        <w:pStyle w:val="Normal"/>
        <w:jc w:val="both"/>
        <w:rPr>
          <w:sz w:val="20"/>
          <w:b/>
          <w:sz w:val="20"/>
          <w:b/>
          <w:szCs w:val="20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>* Отражение суммы СПН (фиксация) осуществляется текущим страховщиком каждые последующие пять лет.</w:t>
      </w:r>
      <w:r/>
    </w:p>
    <w:p>
      <w:pPr>
        <w:pStyle w:val="Normal"/>
        <w:jc w:val="both"/>
        <w:rPr>
          <w:sz w:val="20"/>
          <w:b/>
          <w:sz w:val="20"/>
          <w:b/>
          <w:szCs w:val="20"/>
          <w:rFonts w:ascii="Times New Roman" w:hAnsi="Times New Roman" w:eastAsia="Times New Roman"/>
          <w:color w:val="000000"/>
          <w:lang w:eastAsia="en-US"/>
        </w:rPr>
      </w:pPr>
      <w:r>
        <w:rPr>
          <w:b/>
          <w:color w:val="000000"/>
          <w:sz w:val="20"/>
          <w:szCs w:val="20"/>
          <w:lang w:eastAsia="en-US"/>
        </w:rPr>
      </w:r>
      <w:r/>
    </w:p>
    <w:p>
      <w:pPr>
        <w:pStyle w:val="Normal"/>
        <w:jc w:val="both"/>
      </w:pPr>
      <w:r>
        <w:rPr>
          <w:b/>
          <w:color w:val="FF0000"/>
          <w:sz w:val="20"/>
          <w:szCs w:val="20"/>
          <w:lang w:eastAsia="en-US"/>
        </w:rPr>
        <w:t>Внимание!</w:t>
      </w:r>
      <w:r>
        <w:rPr>
          <w:b/>
          <w:color w:val="000000"/>
          <w:sz w:val="20"/>
          <w:szCs w:val="20"/>
          <w:lang w:eastAsia="en-US"/>
        </w:rPr>
        <w:t xml:space="preserve"> Досрочный переход может повлечь </w:t>
      </w:r>
      <w:r>
        <w:rPr>
          <w:b/>
          <w:color w:val="FF0000"/>
          <w:sz w:val="20"/>
          <w:szCs w:val="20"/>
          <w:lang w:eastAsia="en-US"/>
        </w:rPr>
        <w:t>потерю инвестиционного дохода</w:t>
      </w:r>
      <w:r>
        <w:rPr>
          <w:b/>
          <w:color w:val="000000"/>
          <w:sz w:val="20"/>
          <w:szCs w:val="20"/>
          <w:lang w:eastAsia="en-US"/>
        </w:rPr>
        <w:t xml:space="preserve">, а при отрицательном результате инвестирования – </w:t>
      </w:r>
      <w:r>
        <w:rPr>
          <w:b/>
          <w:color w:val="FF0000"/>
          <w:sz w:val="20"/>
          <w:szCs w:val="20"/>
          <w:lang w:eastAsia="en-US"/>
        </w:rPr>
        <w:t>уменьшение средств пенсионных накоплений</w:t>
      </w:r>
      <w:r>
        <w:rPr>
          <w:b/>
          <w:color w:val="000000"/>
          <w:sz w:val="20"/>
          <w:szCs w:val="20"/>
          <w:lang w:eastAsia="en-US"/>
        </w:rPr>
        <w:t xml:space="preserve">. </w:t>
      </w:r>
      <w:r>
        <w:rPr>
          <w:b/>
          <w:color w:val="FF0000"/>
          <w:sz w:val="20"/>
          <w:szCs w:val="20"/>
          <w:lang w:eastAsia="en-US"/>
        </w:rPr>
        <w:t>Исключение</w:t>
      </w:r>
      <w:r>
        <w:rPr>
          <w:b/>
          <w:color w:val="000000"/>
          <w:sz w:val="20"/>
          <w:szCs w:val="20"/>
          <w:lang w:eastAsia="en-US"/>
        </w:rPr>
        <w:t xml:space="preserve"> – расчет по СПН застрахованных лиц, подавших заявление о досрочном переходе </w:t>
      </w:r>
      <w:r>
        <w:rPr>
          <w:b/>
          <w:color w:val="FF0000"/>
          <w:sz w:val="20"/>
          <w:szCs w:val="20"/>
          <w:lang w:eastAsia="en-US"/>
        </w:rPr>
        <w:t>в год пятилетней фиксации средств пенсионных накоплений</w:t>
      </w:r>
      <w:r>
        <w:rPr>
          <w:b/>
          <w:color w:val="000000"/>
          <w:sz w:val="20"/>
          <w:szCs w:val="20"/>
          <w:lang w:eastAsia="en-US"/>
        </w:rPr>
        <w:t xml:space="preserve"> текущим страховщиком.   Восполнение СПН производится в год обращения за назначением страховой пенсии.</w:t>
      </w:r>
      <w:r/>
    </w:p>
    <w:sectPr>
      <w:type w:val="nextPage"/>
      <w:pgSz w:w="11906" w:h="16838"/>
      <w:pgMar w:left="567" w:right="284" w:header="0" w:top="567" w:footer="0" w:bottom="28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locked="1" w:name="Normal"/>
    <w:lsdException w:qFormat="1" w:semiHidden="0" w:unhideWhenUsed="0" w:uiPriority="0" w:locked="1" w:name="heading 1"/>
    <w:lsdException w:qFormat="1" w:uiPriority="0" w:locked="1" w:name="heading 2"/>
    <w:lsdException w:qFormat="1" w:uiPriority="0" w:locked="1" w:name="heading 3"/>
    <w:lsdException w:qFormat="1" w:uiPriority="0" w:locked="1" w:name="heading 4"/>
    <w:lsdException w:qFormat="1" w:uiPriority="0" w:locked="1" w:name="heading 5"/>
    <w:lsdException w:qFormat="1" w:uiPriority="0" w:locked="1" w:name="heading 6"/>
    <w:lsdException w:qFormat="1" w:uiPriority="0" w:locked="1" w:name="heading 7"/>
    <w:lsdException w:qFormat="1" w:uiPriority="0" w:locked="1" w:name="heading 8"/>
    <w:lsdException w:qFormat="1" w:uiPriority="0" w:locked="1" w:name="heading 9"/>
    <w:lsdException w:semiHidden="0" w:unhideWhenUsed="0" w:uiPriority="0" w:locked="1" w:name="toc 1"/>
    <w:lsdException w:semiHidden="0" w:unhideWhenUsed="0" w:uiPriority="0" w:locked="1" w:name="toc 2"/>
    <w:lsdException w:semiHidden="0" w:unhideWhenUsed="0" w:uiPriority="0" w:locked="1" w:name="toc 3"/>
    <w:lsdException w:semiHidden="0" w:unhideWhenUsed="0" w:uiPriority="0" w:locked="1" w:name="toc 4"/>
    <w:lsdException w:semiHidden="0" w:unhideWhenUsed="0" w:uiPriority="0" w:locked="1" w:name="toc 5"/>
    <w:lsdException w:semiHidden="0" w:unhideWhenUsed="0" w:uiPriority="0" w:locked="1" w:name="toc 6"/>
    <w:lsdException w:semiHidden="0" w:unhideWhenUsed="0" w:uiPriority="0" w:locked="1" w:name="toc 7"/>
    <w:lsdException w:semiHidden="0" w:unhideWhenUsed="0" w:uiPriority="0" w:locked="1" w:name="toc 8"/>
    <w:lsdException w:semiHidden="0" w:unhideWhenUsed="0" w:uiPriority="0" w:locked="1" w:name="toc 9"/>
    <w:lsdException w:qFormat="1" w:uiPriority="0" w:locked="1" w:name="caption"/>
    <w:lsdException w:qFormat="1" w:semiHidden="0" w:unhideWhenUsed="0" w:uiPriority="0" w:locked="1" w:name="Title"/>
    <w:lsdException w:semiHidden="0" w:unhideWhenUsed="0" w:uiPriority="0" w:locked="1" w:name="Default Paragraph Font"/>
    <w:lsdException w:qFormat="1" w:semiHidden="0" w:unhideWhenUsed="0" w:uiPriority="0" w:locked="1" w:name="Subtitle"/>
    <w:lsdException w:qFormat="1" w:semiHidden="0" w:unhideWhenUsed="0" w:uiPriority="0" w:locked="1" w:name="Strong"/>
    <w:lsdException w:qFormat="1" w:semiHidden="0" w:unhideWhenUsed="0" w:uiPriority="0" w:locked="1" w:name="Emphasis"/>
    <w:lsdException w:semiHidden="0" w:unhideWhenUsed="0" w:uiPriority="0" w:locked="1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a95fdf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99"/>
    <w:semiHidden/>
    <w:rPr/>
  </w:style>
  <w:style w:type="character" w:styleId="TitleChar" w:customStyle="1">
    <w:name w:val="Title Char"/>
    <w:basedOn w:val="DefaultParagraphFont"/>
    <w:link w:val="Title"/>
    <w:uiPriority w:val="99"/>
    <w:locked/>
    <w:rsid w:val="006876a6"/>
    <w:rPr>
      <w:rFonts w:ascii="Times New Roman" w:hAnsi="Times New Roman" w:cs="Times New Roman"/>
      <w:b/>
      <w:color w:val="333399"/>
      <w:sz w:val="24"/>
      <w:szCs w:val="24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locked/>
    <w:rsid w:val="00e20ef8"/>
    <w:rPr>
      <w:rFonts w:ascii="Times New Roman" w:hAnsi="Times New Roman" w:cs="Times New Roman"/>
      <w:sz w:val="2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Заглавие"/>
    <w:basedOn w:val="Normal"/>
    <w:link w:val="TitleChar"/>
    <w:uiPriority w:val="99"/>
    <w:qFormat/>
    <w:rsid w:val="006876a6"/>
    <w:pPr>
      <w:jc w:val="center"/>
    </w:pPr>
    <w:rPr>
      <w:b/>
      <w:color w:val="333399"/>
      <w:sz w:val="48"/>
    </w:rPr>
  </w:style>
  <w:style w:type="paragraph" w:styleId="ConsPlusNormal" w:customStyle="1">
    <w:name w:val="ConsPlusNormal"/>
    <w:uiPriority w:val="99"/>
    <w:rsid w:val="006876a6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auto"/>
      <w:sz w:val="24"/>
      <w:szCs w:val="22"/>
      <w:lang w:eastAsia="en-US" w:val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4e0d9b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6876a6"/>
    <w:rPr>
      <w:sz w:val="20"/>
      <w:szCs w:val="20"/>
    </w:rPr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Application>LibreOffice/4.3.4.1$Windows_x86 LibreOffice_project/bc356b2f991740509f321d70e4512a6a54c5f243</Application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2017-06-26T11:33:00Z</dcterms:created>
  <dc:creator>076-1201 Малашенкова</dc:creator>
  <dc:language>ru-RU</dc:language>
  <cp:lastModifiedBy>1</cp:lastModifiedBy>
  <cp:lastPrinted>2017-06-27T08:08:00Z</cp:lastPrinted>
  <dcterms:modified xsi:type="dcterms:W3CDTF">2017-06-27T08:09:00Z</dcterms:modified>
  <cp:revision>7</cp:revision>
  <dc:title>Приложение</dc:title>
</cp:coreProperties>
</file>