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2.jpeg" ContentType="image/jpeg"/>
  <Override PartName="/word/media/image1.jpeg" ContentType="image/jpeg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3540" w:firstLine="708"/>
        <w:rPr>
          <w:sz w:val="28"/>
          <w:b/>
          <w:sz w:val="28"/>
          <w:b/>
          <w:szCs w:val="28"/>
        </w:rPr>
      </w:pPr>
      <w:r>
        <w:rPr>
          <w:b/>
          <w:sz w:val="28"/>
          <w:szCs w:val="28"/>
        </w:rPr>
        <w:t xml:space="preserve">        </w:t>
        <mc:AlternateContent>
          <mc:Choice Requires="wps">
            <w:drawing>
              <wp:anchor behindDoc="1" distT="0" distB="0" distL="0" distR="0" simplePos="0" locked="0" layoutInCell="1" allowOverlap="1" relativeHeight="2">
                <wp:simplePos x="0" y="0"/>
                <wp:positionH relativeFrom="column">
                  <wp:posOffset>635</wp:posOffset>
                </wp:positionH>
                <wp:positionV relativeFrom="paragraph">
                  <wp:posOffset>342900</wp:posOffset>
                </wp:positionV>
                <wp:extent cx="7002780" cy="8687435"/>
                <wp:effectExtent l="0" t="0" r="0" b="0"/>
                <wp:wrapNone/>
                <wp:docPr id="1" name="Рисунок 2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"/>
                        <pic:cNvPicPr/>
                      </pic:nvPicPr>
                      <pic:blipFill>
                        <a:blip r:embed="rId2"/>
                        <a:stretch/>
                      </pic:blipFill>
                      <pic:spPr>
                        <a:xfrm>
                          <a:off x="0" y="0"/>
                          <a:ext cx="7002000" cy="86868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rect id="shape_0" ID="Рисунок 2" stroked="f" style="position:absolute;margin-left:0.05pt;margin-top:27pt;width:551.3pt;height:683.95pt">
                <v:imagedata r:id="rId3" o:detectmouseclick="t"/>
                <w10:wrap type="none"/>
                <v:stroke color="#3465a4" joinstyle="round" endcap="flat"/>
              </v:rect>
            </w:pict>
          </mc:Fallback>
        </mc:AlternateContent>
      </w:r>
      <w:r/>
    </w:p>
    <w:p>
      <w:pPr>
        <w:pStyle w:val="Normal"/>
        <w:ind w:left="3600" w:hanging="0"/>
        <w:jc w:val="center"/>
        <w:rPr>
          <w:sz w:val="28"/>
          <w:b/>
          <w:sz w:val="28"/>
          <w:b/>
          <w:szCs w:val="28"/>
        </w:rPr>
      </w:pPr>
      <w:r>
        <w:rPr>
          <w:b/>
          <w:sz w:val="28"/>
          <w:szCs w:val="28"/>
        </w:rPr>
      </w:r>
      <w:r/>
    </w:p>
    <w:p>
      <w:pPr>
        <w:pStyle w:val="Normal"/>
        <w:rPr>
          <w:sz w:val="28"/>
          <w:b/>
          <w:sz w:val="28"/>
          <w:b/>
          <w:szCs w:val="28"/>
        </w:rPr>
      </w:pPr>
      <w:r>
        <w:rPr>
          <w:b/>
          <w:sz w:val="28"/>
          <w:szCs w:val="28"/>
        </w:rPr>
      </w:r>
      <w:r/>
    </w:p>
    <w:p>
      <w:pPr>
        <w:pStyle w:val="Normal"/>
        <w:ind w:right="178" w:hanging="0"/>
        <w:jc w:val="center"/>
        <w:rPr>
          <w:sz w:val="32"/>
          <w:b/>
          <w:sz w:val="32"/>
          <w:b/>
          <w:szCs w:val="32"/>
          <w:rFonts w:ascii="Arial" w:hAnsi="Arial" w:cs="Arial"/>
        </w:rPr>
      </w:pPr>
      <w:r>
        <w:rPr>
          <w:rFonts w:cs="Arial" w:ascii="Arial" w:hAnsi="Arial"/>
          <w:b/>
          <w:sz w:val="32"/>
          <w:szCs w:val="32"/>
        </w:rPr>
      </w:r>
      <w:r/>
    </w:p>
    <w:p>
      <w:pPr>
        <w:pStyle w:val="Normal"/>
        <w:ind w:right="178" w:hanging="0"/>
        <w:jc w:val="center"/>
        <w:rPr>
          <w:sz w:val="32"/>
          <w:b/>
          <w:sz w:val="32"/>
          <w:b/>
          <w:szCs w:val="32"/>
          <w:rFonts w:ascii="Arial" w:hAnsi="Arial" w:cs="Arial"/>
        </w:rPr>
      </w:pPr>
      <w:r>
        <w:rPr>
          <w:rFonts w:cs="Arial" w:ascii="Arial" w:hAnsi="Arial"/>
          <w:b/>
          <w:sz w:val="32"/>
          <w:szCs w:val="32"/>
        </w:rPr>
      </w:r>
      <w:r/>
    </w:p>
    <w:p>
      <w:pPr>
        <w:pStyle w:val="Normal"/>
        <w:ind w:right="178" w:hanging="0"/>
        <w:jc w:val="center"/>
        <w:rPr>
          <w:sz w:val="32"/>
          <w:b/>
          <w:sz w:val="32"/>
          <w:b/>
          <w:szCs w:val="32"/>
          <w:rFonts w:ascii="Arial" w:hAnsi="Arial" w:cs="Arial"/>
        </w:rPr>
      </w:pPr>
      <w:r>
        <w:rPr>
          <w:rFonts w:cs="Arial" w:ascii="Arial" w:hAnsi="Arial"/>
          <w:b/>
          <w:sz w:val="32"/>
          <w:szCs w:val="32"/>
        </w:rPr>
      </w:r>
      <w:r/>
    </w:p>
    <w:p>
      <w:pPr>
        <w:pStyle w:val="Normal"/>
        <w:ind w:right="178" w:hanging="0"/>
        <w:jc w:val="center"/>
        <w:rPr>
          <w:sz w:val="32"/>
          <w:b/>
          <w:sz w:val="32"/>
          <w:b/>
          <w:szCs w:val="32"/>
          <w:rFonts w:ascii="Arial" w:hAnsi="Arial" w:cs="Arial"/>
        </w:rPr>
      </w:pPr>
      <w:r>
        <w:rPr>
          <w:rFonts w:cs="Arial" w:ascii="Arial" w:hAnsi="Arial"/>
          <w:b/>
          <w:sz w:val="32"/>
          <w:szCs w:val="32"/>
        </w:rPr>
      </w:r>
      <w:r/>
    </w:p>
    <w:p>
      <w:pPr>
        <w:pStyle w:val="Normal"/>
        <w:ind w:right="178" w:hanging="0"/>
        <w:jc w:val="center"/>
        <w:rPr>
          <w:sz w:val="32"/>
          <w:b/>
          <w:sz w:val="32"/>
          <w:b/>
          <w:szCs w:val="32"/>
          <w:rFonts w:ascii="Arial" w:hAnsi="Arial" w:cs="Arial"/>
        </w:rPr>
      </w:pPr>
      <w:r>
        <w:rPr>
          <w:rFonts w:cs="Arial" w:ascii="Arial" w:hAnsi="Arial"/>
          <w:b/>
          <w:sz w:val="32"/>
          <w:szCs w:val="32"/>
        </w:rPr>
      </w:r>
      <w:r/>
    </w:p>
    <w:p>
      <w:pPr>
        <w:pStyle w:val="Normal"/>
        <w:ind w:right="178" w:hanging="0"/>
        <w:jc w:val="center"/>
        <w:rPr>
          <w:sz w:val="32"/>
          <w:b/>
          <w:sz w:val="32"/>
          <w:b/>
          <w:szCs w:val="32"/>
          <w:rFonts w:ascii="Arial" w:hAnsi="Arial" w:cs="Arial"/>
        </w:rPr>
      </w:pPr>
      <w:r>
        <w:rPr>
          <w:rFonts w:cs="Arial" w:ascii="Arial" w:hAnsi="Arial"/>
          <w:b/>
          <w:sz w:val="32"/>
          <w:szCs w:val="32"/>
        </w:rPr>
      </w:r>
      <w:r/>
    </w:p>
    <w:p>
      <w:pPr>
        <w:pStyle w:val="Normal"/>
        <w:ind w:right="178" w:hanging="0"/>
        <w:jc w:val="center"/>
        <w:rPr>
          <w:sz w:val="40"/>
          <w:b/>
          <w:sz w:val="40"/>
          <w:b/>
          <w:szCs w:val="40"/>
          <w:rFonts w:ascii="Arial" w:hAnsi="Arial" w:cs="Arial"/>
        </w:rPr>
      </w:pPr>
      <w:r>
        <w:rPr>
          <w:rFonts w:cs="Arial" w:ascii="Arial" w:hAnsi="Arial"/>
          <w:b/>
          <w:sz w:val="40"/>
          <w:szCs w:val="40"/>
        </w:rPr>
        <w:t>ПАМЯТКА</w:t>
      </w:r>
      <w:r/>
    </w:p>
    <w:p>
      <w:pPr>
        <w:pStyle w:val="Normal"/>
        <w:tabs>
          <w:tab w:val="left" w:pos="1080" w:leader="none"/>
        </w:tabs>
        <w:ind w:left="180" w:right="178" w:hanging="0"/>
        <w:jc w:val="center"/>
        <w:rPr>
          <w:sz w:val="40"/>
          <w:b/>
          <w:sz w:val="40"/>
          <w:b/>
          <w:szCs w:val="40"/>
          <w:rFonts w:ascii="Arial" w:hAnsi="Arial" w:cs="Arial"/>
        </w:rPr>
      </w:pPr>
      <w:r>
        <w:rPr>
          <w:rFonts w:cs="Arial" w:ascii="Arial" w:hAnsi="Arial"/>
          <w:b/>
          <w:sz w:val="40"/>
          <w:szCs w:val="40"/>
        </w:rPr>
        <w:t>застрахованному лицу</w:t>
      </w:r>
      <w:r/>
    </w:p>
    <w:p>
      <w:pPr>
        <w:pStyle w:val="Normal"/>
        <w:tabs>
          <w:tab w:val="left" w:pos="1080" w:leader="none"/>
        </w:tabs>
        <w:ind w:left="180" w:right="178" w:hanging="0"/>
        <w:jc w:val="center"/>
        <w:rPr>
          <w:sz w:val="40"/>
          <w:b/>
          <w:sz w:val="40"/>
          <w:b/>
          <w:szCs w:val="40"/>
          <w:rFonts w:ascii="Arial" w:hAnsi="Arial" w:cs="Arial"/>
        </w:rPr>
      </w:pPr>
      <w:r>
        <w:rPr>
          <w:rFonts w:cs="Arial" w:ascii="Arial" w:hAnsi="Arial"/>
          <w:b/>
          <w:sz w:val="40"/>
          <w:szCs w:val="40"/>
        </w:rPr>
        <w:t xml:space="preserve"> </w:t>
      </w:r>
      <w:r>
        <w:rPr>
          <w:rFonts w:cs="Arial" w:ascii="Arial" w:hAnsi="Arial"/>
          <w:b/>
          <w:sz w:val="40"/>
          <w:szCs w:val="40"/>
        </w:rPr>
        <w:t>по формированию накопительной пенсии</w:t>
      </w:r>
      <w:r>
        <w:rPr>
          <w:rFonts w:cs="Arial" w:ascii="Arial" w:hAnsi="Arial"/>
          <w:b/>
          <w:bCs/>
          <w:sz w:val="40"/>
          <w:szCs w:val="40"/>
          <w:u w:val="single"/>
        </w:rPr>
        <w:t xml:space="preserve"> </w:t>
      </w:r>
      <w:r/>
    </w:p>
    <w:p>
      <w:pPr>
        <w:pStyle w:val="Normal"/>
        <w:tabs>
          <w:tab w:val="left" w:pos="1080" w:leader="none"/>
        </w:tabs>
        <w:ind w:left="180" w:right="178" w:hanging="0"/>
        <w:rPr>
          <w:sz w:val="26"/>
          <w:sz w:val="26"/>
          <w:szCs w:val="26"/>
          <w:bCs/>
          <w:rFonts w:ascii="Arial" w:hAnsi="Arial" w:cs="Arial"/>
          <w:color w:val="0000FF"/>
        </w:rPr>
      </w:pPr>
      <w:r>
        <w:rPr>
          <w:rFonts w:cs="Arial" w:ascii="Arial" w:hAnsi="Arial"/>
          <w:bCs/>
          <w:color w:val="0000FF"/>
          <w:sz w:val="26"/>
          <w:szCs w:val="26"/>
        </w:rPr>
        <w:tab/>
        <w:tab/>
        <w:tab/>
        <w:tab/>
        <w:t xml:space="preserve">  </w:t>
      </w:r>
      <w:r/>
    </w:p>
    <w:p>
      <w:pPr>
        <w:pStyle w:val="Normal"/>
        <w:tabs>
          <w:tab w:val="left" w:pos="1080" w:leader="none"/>
        </w:tabs>
        <w:ind w:left="180" w:right="178" w:hanging="0"/>
        <w:rPr>
          <w:sz w:val="26"/>
          <w:sz w:val="26"/>
          <w:szCs w:val="26"/>
          <w:bCs/>
          <w:rFonts w:ascii="Arial" w:hAnsi="Arial" w:cs="Arial"/>
          <w:color w:val="0000FF"/>
        </w:rPr>
      </w:pPr>
      <w:r>
        <w:rPr>
          <w:rFonts w:cs="Arial" w:ascii="Arial" w:hAnsi="Arial"/>
          <w:bCs/>
          <w:color w:val="0000FF"/>
          <w:sz w:val="26"/>
          <w:szCs w:val="26"/>
        </w:rPr>
      </w:r>
      <w:r/>
    </w:p>
    <w:p>
      <w:pPr>
        <w:pStyle w:val="Normal"/>
        <w:tabs>
          <w:tab w:val="left" w:pos="1080" w:leader="none"/>
        </w:tabs>
        <w:ind w:left="180" w:right="178" w:hanging="0"/>
        <w:rPr>
          <w:sz w:val="26"/>
          <w:sz w:val="26"/>
          <w:szCs w:val="26"/>
          <w:bCs/>
          <w:rFonts w:ascii="Arial" w:hAnsi="Arial" w:cs="Arial"/>
          <w:color w:val="0000FF"/>
        </w:rPr>
      </w:pPr>
      <w:r>
        <w:rPr>
          <w:rFonts w:cs="Arial" w:ascii="Arial" w:hAnsi="Arial"/>
          <w:bCs/>
          <w:color w:val="0000FF"/>
          <w:sz w:val="26"/>
          <w:szCs w:val="26"/>
        </w:rPr>
      </w:r>
      <w:r/>
    </w:p>
    <w:p>
      <w:pPr>
        <w:pStyle w:val="Normal"/>
        <w:tabs>
          <w:tab w:val="left" w:pos="1080" w:leader="none"/>
        </w:tabs>
        <w:ind w:left="180" w:right="178" w:hanging="0"/>
        <w:rPr>
          <w:sz w:val="26"/>
          <w:sz w:val="26"/>
          <w:szCs w:val="26"/>
          <w:bCs/>
          <w:rFonts w:ascii="Arial" w:hAnsi="Arial" w:cs="Arial"/>
          <w:color w:val="0000FF"/>
        </w:rPr>
      </w:pPr>
      <w:r>
        <w:rPr>
          <w:rFonts w:cs="Arial" w:ascii="Arial" w:hAnsi="Arial"/>
          <w:bCs/>
          <w:color w:val="0000FF"/>
          <w:sz w:val="26"/>
          <w:szCs w:val="26"/>
        </w:rPr>
      </w:r>
      <w:r/>
    </w:p>
    <w:p>
      <w:pPr>
        <w:pStyle w:val="Normal"/>
        <w:tabs>
          <w:tab w:val="left" w:pos="1080" w:leader="none"/>
        </w:tabs>
        <w:ind w:left="180" w:right="178" w:hanging="0"/>
        <w:rPr>
          <w:sz w:val="26"/>
          <w:sz w:val="26"/>
          <w:szCs w:val="26"/>
          <w:bCs/>
          <w:rFonts w:ascii="Arial" w:hAnsi="Arial" w:cs="Arial"/>
          <w:color w:val="0000FF"/>
        </w:rPr>
      </w:pPr>
      <w:r>
        <w:rPr>
          <w:rFonts w:cs="Arial" w:ascii="Arial" w:hAnsi="Arial"/>
          <w:bCs/>
          <w:color w:val="0000FF"/>
          <w:sz w:val="26"/>
          <w:szCs w:val="26"/>
        </w:rPr>
      </w:r>
      <w:r/>
    </w:p>
    <w:p>
      <w:pPr>
        <w:pStyle w:val="Normal"/>
        <w:tabs>
          <w:tab w:val="left" w:pos="1080" w:leader="none"/>
        </w:tabs>
        <w:ind w:left="180" w:right="178" w:hanging="0"/>
        <w:rPr>
          <w:sz w:val="26"/>
          <w:sz w:val="26"/>
          <w:szCs w:val="26"/>
          <w:bCs/>
          <w:rFonts w:ascii="Arial" w:hAnsi="Arial" w:cs="Arial"/>
          <w:color w:val="0000FF"/>
        </w:rPr>
      </w:pPr>
      <w:r>
        <w:rPr>
          <w:rFonts w:cs="Arial" w:ascii="Arial" w:hAnsi="Arial"/>
          <w:bCs/>
          <w:color w:val="0000FF"/>
          <w:sz w:val="26"/>
          <w:szCs w:val="26"/>
        </w:rPr>
      </w:r>
      <w:r/>
    </w:p>
    <w:p>
      <w:pPr>
        <w:pStyle w:val="Normal"/>
        <w:tabs>
          <w:tab w:val="left" w:pos="1080" w:leader="none"/>
        </w:tabs>
        <w:ind w:left="180" w:right="178" w:hanging="0"/>
        <w:rPr>
          <w:sz w:val="26"/>
          <w:sz w:val="26"/>
          <w:szCs w:val="26"/>
          <w:bCs/>
          <w:rFonts w:ascii="Arial" w:hAnsi="Arial" w:cs="Arial"/>
          <w:color w:val="0000FF"/>
        </w:rPr>
      </w:pPr>
      <w:r>
        <w:rPr>
          <w:rFonts w:cs="Arial" w:ascii="Arial" w:hAnsi="Arial"/>
          <w:bCs/>
          <w:color w:val="0000FF"/>
          <w:sz w:val="26"/>
          <w:szCs w:val="26"/>
        </w:rPr>
      </w:r>
      <w:r/>
    </w:p>
    <w:p>
      <w:pPr>
        <w:pStyle w:val="Normal"/>
        <w:tabs>
          <w:tab w:val="left" w:pos="1080" w:leader="none"/>
        </w:tabs>
        <w:ind w:left="180" w:right="178" w:hanging="0"/>
        <w:rPr>
          <w:sz w:val="26"/>
          <w:sz w:val="26"/>
          <w:szCs w:val="26"/>
          <w:bCs/>
          <w:rFonts w:ascii="Arial" w:hAnsi="Arial" w:cs="Arial"/>
          <w:color w:val="0000FF"/>
        </w:rPr>
      </w:pPr>
      <w:r>
        <w:rPr>
          <w:rFonts w:cs="Arial" w:ascii="Arial" w:hAnsi="Arial"/>
          <w:bCs/>
          <w:color w:val="0000FF"/>
          <w:sz w:val="26"/>
          <w:szCs w:val="26"/>
        </w:rPr>
      </w:r>
      <w:r/>
    </w:p>
    <w:p>
      <w:pPr>
        <w:pStyle w:val="Normal"/>
        <w:tabs>
          <w:tab w:val="left" w:pos="1080" w:leader="none"/>
        </w:tabs>
        <w:ind w:left="180" w:right="178" w:hanging="0"/>
        <w:rPr>
          <w:sz w:val="26"/>
          <w:sz w:val="26"/>
          <w:szCs w:val="26"/>
          <w:bCs/>
          <w:rFonts w:ascii="Arial" w:hAnsi="Arial" w:cs="Arial"/>
          <w:color w:val="0000FF"/>
        </w:rPr>
      </w:pPr>
      <w:r>
        <w:rPr>
          <w:rFonts w:cs="Arial" w:ascii="Arial" w:hAnsi="Arial"/>
          <w:bCs/>
          <w:color w:val="0000FF"/>
          <w:sz w:val="26"/>
          <w:szCs w:val="26"/>
        </w:rPr>
      </w:r>
      <w:r/>
    </w:p>
    <w:p>
      <w:pPr>
        <w:pStyle w:val="Normal"/>
        <w:tabs>
          <w:tab w:val="left" w:pos="1080" w:leader="none"/>
        </w:tabs>
        <w:ind w:left="180" w:right="178" w:hanging="0"/>
        <w:rPr>
          <w:sz w:val="26"/>
          <w:sz w:val="26"/>
          <w:szCs w:val="26"/>
          <w:bCs/>
          <w:rFonts w:ascii="Arial" w:hAnsi="Arial" w:cs="Arial"/>
          <w:color w:val="0000FF"/>
        </w:rPr>
      </w:pPr>
      <w:r>
        <w:rPr>
          <w:rFonts w:cs="Arial" w:ascii="Arial" w:hAnsi="Arial"/>
          <w:bCs/>
          <w:color w:val="0000FF"/>
          <w:sz w:val="26"/>
          <w:szCs w:val="26"/>
        </w:rPr>
      </w:r>
      <w:r/>
    </w:p>
    <w:p>
      <w:pPr>
        <w:pStyle w:val="Normal"/>
        <w:tabs>
          <w:tab w:val="left" w:pos="1080" w:leader="none"/>
        </w:tabs>
        <w:ind w:left="180" w:right="178" w:hanging="0"/>
        <w:rPr>
          <w:sz w:val="26"/>
          <w:sz w:val="26"/>
          <w:szCs w:val="26"/>
          <w:bCs/>
          <w:rFonts w:ascii="Arial" w:hAnsi="Arial" w:cs="Arial"/>
          <w:color w:val="0000FF"/>
        </w:rPr>
      </w:pPr>
      <w:r>
        <w:rPr>
          <w:rFonts w:cs="Arial" w:ascii="Arial" w:hAnsi="Arial"/>
          <w:bCs/>
          <w:color w:val="0000FF"/>
          <w:sz w:val="26"/>
          <w:szCs w:val="26"/>
        </w:rPr>
      </w:r>
      <w:r/>
    </w:p>
    <w:p>
      <w:pPr>
        <w:pStyle w:val="Normal"/>
        <w:tabs>
          <w:tab w:val="left" w:pos="1080" w:leader="none"/>
        </w:tabs>
        <w:ind w:left="180" w:right="178" w:hanging="0"/>
        <w:rPr>
          <w:sz w:val="26"/>
          <w:sz w:val="26"/>
          <w:szCs w:val="26"/>
          <w:bCs/>
          <w:rFonts w:ascii="Arial" w:hAnsi="Arial" w:cs="Arial"/>
          <w:color w:val="0000FF"/>
        </w:rPr>
      </w:pPr>
      <w:r>
        <w:rPr>
          <w:rFonts w:cs="Arial" w:ascii="Arial" w:hAnsi="Arial"/>
          <w:bCs/>
          <w:color w:val="0000FF"/>
          <w:sz w:val="26"/>
          <w:szCs w:val="26"/>
        </w:rPr>
      </w:r>
      <w:r/>
    </w:p>
    <w:p>
      <w:pPr>
        <w:pStyle w:val="Normal"/>
        <w:tabs>
          <w:tab w:val="left" w:pos="1080" w:leader="none"/>
        </w:tabs>
        <w:ind w:left="180" w:right="178" w:hanging="0"/>
        <w:rPr>
          <w:sz w:val="26"/>
          <w:sz w:val="26"/>
          <w:szCs w:val="26"/>
          <w:bCs/>
          <w:rFonts w:ascii="Arial" w:hAnsi="Arial" w:cs="Arial"/>
          <w:color w:val="0000FF"/>
        </w:rPr>
      </w:pPr>
      <w:r>
        <w:rPr>
          <w:rFonts w:cs="Arial" w:ascii="Arial" w:hAnsi="Arial"/>
          <w:bCs/>
          <w:color w:val="0000FF"/>
          <w:sz w:val="26"/>
          <w:szCs w:val="26"/>
        </w:rPr>
      </w:r>
      <w:r/>
    </w:p>
    <w:p>
      <w:pPr>
        <w:pStyle w:val="Normal"/>
        <w:tabs>
          <w:tab w:val="left" w:pos="1080" w:leader="none"/>
        </w:tabs>
        <w:ind w:left="180" w:right="178" w:hanging="0"/>
        <w:rPr>
          <w:sz w:val="26"/>
          <w:sz w:val="26"/>
          <w:szCs w:val="26"/>
          <w:bCs/>
          <w:rFonts w:ascii="Arial" w:hAnsi="Arial" w:cs="Arial"/>
          <w:color w:val="0000FF"/>
        </w:rPr>
      </w:pPr>
      <w:r>
        <w:rPr>
          <w:rFonts w:cs="Arial" w:ascii="Arial" w:hAnsi="Arial"/>
          <w:bCs/>
          <w:color w:val="0000FF"/>
          <w:sz w:val="26"/>
          <w:szCs w:val="26"/>
        </w:rPr>
      </w:r>
      <w:r/>
    </w:p>
    <w:p>
      <w:pPr>
        <w:pStyle w:val="Normal"/>
        <w:tabs>
          <w:tab w:val="left" w:pos="1080" w:leader="none"/>
        </w:tabs>
        <w:ind w:left="180" w:right="178" w:hanging="0"/>
        <w:rPr>
          <w:sz w:val="26"/>
          <w:sz w:val="26"/>
          <w:szCs w:val="26"/>
          <w:bCs/>
          <w:rFonts w:ascii="Arial" w:hAnsi="Arial" w:cs="Arial"/>
          <w:color w:val="0000FF"/>
        </w:rPr>
      </w:pPr>
      <w:r>
        <w:rPr>
          <w:rFonts w:cs="Arial" w:ascii="Arial" w:hAnsi="Arial"/>
          <w:bCs/>
          <w:color w:val="0000FF"/>
          <w:sz w:val="26"/>
          <w:szCs w:val="26"/>
        </w:rPr>
      </w:r>
      <w:r/>
    </w:p>
    <w:p>
      <w:pPr>
        <w:pStyle w:val="Normal"/>
        <w:tabs>
          <w:tab w:val="left" w:pos="1080" w:leader="none"/>
        </w:tabs>
        <w:ind w:left="180" w:right="178" w:hanging="0"/>
        <w:rPr>
          <w:sz w:val="26"/>
          <w:sz w:val="26"/>
          <w:szCs w:val="26"/>
          <w:bCs/>
          <w:rFonts w:ascii="Arial" w:hAnsi="Arial" w:cs="Arial"/>
          <w:color w:val="0000FF"/>
        </w:rPr>
      </w:pPr>
      <w:r>
        <w:rPr>
          <w:rFonts w:cs="Arial" w:ascii="Arial" w:hAnsi="Arial"/>
          <w:bCs/>
          <w:color w:val="0000FF"/>
          <w:sz w:val="26"/>
          <w:szCs w:val="26"/>
        </w:rPr>
      </w:r>
      <w:r/>
    </w:p>
    <w:p>
      <w:pPr>
        <w:pStyle w:val="Normal"/>
        <w:tabs>
          <w:tab w:val="left" w:pos="1080" w:leader="none"/>
        </w:tabs>
        <w:ind w:right="178" w:hanging="0"/>
        <w:rPr>
          <w:sz w:val="26"/>
          <w:sz w:val="26"/>
          <w:szCs w:val="26"/>
          <w:bCs/>
          <w:rFonts w:ascii="Arial" w:hAnsi="Arial" w:cs="Arial"/>
          <w:color w:val="0000FF"/>
        </w:rPr>
      </w:pPr>
      <w:r>
        <w:rPr>
          <w:rFonts w:cs="Arial" w:ascii="Arial" w:hAnsi="Arial"/>
          <w:bCs/>
          <w:color w:val="0000FF"/>
          <w:sz w:val="26"/>
          <w:szCs w:val="26"/>
        </w:rPr>
      </w:r>
      <w:r/>
    </w:p>
    <w:p>
      <w:pPr>
        <w:pStyle w:val="Normal"/>
        <w:tabs>
          <w:tab w:val="left" w:pos="1080" w:leader="none"/>
        </w:tabs>
        <w:ind w:left="180" w:right="178" w:hanging="0"/>
        <w:jc w:val="center"/>
        <w:rPr>
          <w:sz w:val="28"/>
          <w:b/>
          <w:sz w:val="28"/>
          <w:b/>
          <w:szCs w:val="28"/>
          <w:color w:val="000080"/>
        </w:rPr>
      </w:pPr>
      <w:r>
        <w:rPr>
          <w:b/>
          <w:color w:val="000080"/>
          <w:sz w:val="28"/>
          <w:szCs w:val="28"/>
        </w:rPr>
        <w:t>Пенсионные накопления формируются:</w:t>
      </w:r>
      <w:r/>
    </w:p>
    <w:p>
      <w:pPr>
        <w:pStyle w:val="Normal"/>
        <w:widowControl w:val="false"/>
        <w:numPr>
          <w:ilvl w:val="0"/>
          <w:numId w:val="4"/>
        </w:numPr>
        <w:spacing w:lineRule="auto" w:line="240" w:before="0" w:after="0"/>
        <w:jc w:val="both"/>
        <w:rPr>
          <w:sz w:val="26"/>
          <w:sz w:val="26"/>
          <w:szCs w:val="26"/>
        </w:rPr>
      </w:pPr>
      <w:r>
        <w:rPr>
          <w:sz w:val="26"/>
          <w:szCs w:val="26"/>
        </w:rPr>
        <w:t>у   работающих    граждан  1967 г.р. и моложе;</w:t>
      </w:r>
      <w:r/>
    </w:p>
    <w:p>
      <w:pPr>
        <w:pStyle w:val="Normal"/>
        <w:widowControl w:val="false"/>
        <w:numPr>
          <w:ilvl w:val="0"/>
          <w:numId w:val="2"/>
        </w:numPr>
        <w:spacing w:lineRule="auto" w:line="240" w:before="0" w:after="0"/>
        <w:ind w:left="142" w:hanging="360"/>
        <w:jc w:val="both"/>
        <w:rPr>
          <w:sz w:val="26"/>
          <w:sz w:val="26"/>
          <w:szCs w:val="26"/>
        </w:rPr>
      </w:pPr>
      <w:r>
        <w:rPr>
          <w:sz w:val="26"/>
          <w:szCs w:val="26"/>
        </w:rPr>
        <w:t>у  застрахованных   лиц   старше 1967 г.р., за которых работодателями уплачивались страховые взносы на накопительную пенсию в период с 2002 по 2004 годы;</w:t>
      </w:r>
      <w:r/>
    </w:p>
    <w:p>
      <w:pPr>
        <w:pStyle w:val="Normal"/>
        <w:widowControl w:val="false"/>
        <w:numPr>
          <w:ilvl w:val="0"/>
          <w:numId w:val="2"/>
        </w:numPr>
        <w:spacing w:lineRule="auto" w:line="240" w:before="0" w:after="0"/>
        <w:ind w:left="142" w:hanging="360"/>
        <w:jc w:val="both"/>
        <w:rPr>
          <w:sz w:val="26"/>
          <w:sz w:val="26"/>
          <w:szCs w:val="26"/>
        </w:rPr>
      </w:pPr>
      <w:r>
        <w:rPr>
          <w:sz w:val="26"/>
          <w:szCs w:val="26"/>
        </w:rPr>
        <w:t>у  участников Программы госдарственного софинансирования пенсии;</w:t>
      </w:r>
      <w:r/>
    </w:p>
    <w:p>
      <w:pPr>
        <w:pStyle w:val="Normal"/>
        <w:widowControl w:val="false"/>
        <w:numPr>
          <w:ilvl w:val="0"/>
          <w:numId w:val="2"/>
        </w:numPr>
        <w:spacing w:lineRule="auto" w:line="240" w:before="0" w:after="0"/>
        <w:ind w:left="142" w:hanging="360"/>
        <w:jc w:val="both"/>
        <w:rPr>
          <w:sz w:val="26"/>
          <w:sz w:val="26"/>
          <w:szCs w:val="26"/>
        </w:rPr>
      </w:pPr>
      <w:r>
        <w:rPr>
          <w:sz w:val="26"/>
          <w:szCs w:val="26"/>
        </w:rPr>
        <w:t>у лиц, направивших средства материнского (семейного) капитала на формирование накопительной пенсии.</w:t>
      </w:r>
      <w:r/>
    </w:p>
    <w:p>
      <w:pPr>
        <w:pStyle w:val="Normal"/>
        <w:widowControl w:val="false"/>
        <w:spacing w:lineRule="auto" w:line="240" w:before="0" w:after="0"/>
        <w:ind w:left="142" w:hanging="0"/>
        <w:jc w:val="both"/>
        <w:rPr>
          <w:sz w:val="26"/>
          <w:sz w:val="26"/>
          <w:szCs w:val="26"/>
        </w:rPr>
      </w:pPr>
      <w:r>
        <w:rPr>
          <w:b/>
          <w:color w:val="000080"/>
          <w:sz w:val="26"/>
          <w:szCs w:val="26"/>
        </w:rPr>
        <w:t xml:space="preserve">   </w:t>
      </w:r>
      <w:r>
        <w:rPr>
          <w:b/>
          <w:color w:val="000080"/>
          <w:sz w:val="28"/>
          <w:szCs w:val="28"/>
        </w:rPr>
        <w:t xml:space="preserve"> </w:t>
      </w:r>
      <w:r/>
    </w:p>
    <w:p>
      <w:pPr>
        <w:pStyle w:val="Normal"/>
        <w:ind w:left="360" w:hanging="0"/>
        <w:jc w:val="center"/>
        <w:rPr>
          <w:sz w:val="26"/>
          <w:b/>
          <w:sz w:val="26"/>
          <w:b/>
          <w:szCs w:val="26"/>
          <w:color w:val="000080"/>
        </w:rPr>
      </w:pPr>
      <w:r>
        <w:rPr>
          <w:b/>
          <w:color w:val="000080"/>
          <w:sz w:val="28"/>
          <w:szCs w:val="28"/>
        </w:rPr>
        <w:t xml:space="preserve"> </w:t>
      </w:r>
      <w:r>
        <w:rPr>
          <w:b/>
          <w:color w:val="000080"/>
          <w:sz w:val="28"/>
          <w:szCs w:val="28"/>
        </w:rPr>
        <w:t>Пенсионные накопления можно формировать</w:t>
      </w:r>
      <w:r>
        <w:rPr>
          <w:b/>
          <w:color w:val="000080"/>
          <w:sz w:val="26"/>
          <w:szCs w:val="26"/>
        </w:rPr>
        <w:t>:</w:t>
      </w:r>
      <w:r/>
    </w:p>
    <w:p>
      <w:pPr>
        <w:pStyle w:val="Normal"/>
        <w:widowControl w:val="false"/>
        <w:numPr>
          <w:ilvl w:val="0"/>
          <w:numId w:val="1"/>
        </w:numPr>
        <w:spacing w:lineRule="auto" w:line="240" w:before="0" w:after="0"/>
        <w:jc w:val="both"/>
        <w:rPr>
          <w:sz w:val="26"/>
          <w:sz w:val="26"/>
          <w:szCs w:val="26"/>
          <w:rFonts w:ascii="Times New Roman" w:hAnsi="Times New Roman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в ПФР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r>
        <w:rPr>
          <w:sz w:val="26"/>
          <w:szCs w:val="26"/>
        </w:rPr>
        <w:t>выбрав одну из управляющих компаний (в том числе государственную), с которой ПФР заключен договор доверительного управления средствами пенсионных накоплений, путем подачи соответствующего заявления в ПФР</w:t>
      </w:r>
      <w:r/>
    </w:p>
    <w:p>
      <w:pPr>
        <w:pStyle w:val="Normal"/>
        <w:spacing w:before="120" w:after="120"/>
        <w:ind w:left="4956" w:hanging="0"/>
        <w:jc w:val="both"/>
        <w:rPr>
          <w:sz w:val="28"/>
          <w:i/>
          <w:b/>
          <w:sz w:val="28"/>
          <w:i/>
          <w:b/>
          <w:szCs w:val="28"/>
          <w:color w:val="0000FF"/>
        </w:rPr>
      </w:pPr>
      <w:r>
        <w:rPr>
          <w:b/>
          <w:i/>
          <w:color w:val="0000FF"/>
          <w:sz w:val="28"/>
          <w:szCs w:val="28"/>
        </w:rPr>
        <w:t>либо</w:t>
      </w:r>
      <w:r/>
    </w:p>
    <w:p>
      <w:pPr>
        <w:pStyle w:val="Normal"/>
        <w:numPr>
          <w:ilvl w:val="0"/>
          <w:numId w:val="4"/>
        </w:numPr>
        <w:jc w:val="both"/>
        <w:rPr>
          <w:sz w:val="26"/>
          <w:b/>
          <w:sz w:val="26"/>
          <w:b/>
          <w:szCs w:val="26"/>
          <w:color w:val="000080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в НПФ,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sz w:val="26"/>
          <w:szCs w:val="26"/>
        </w:rPr>
        <w:t>осуществляющим деятельность по обязательному пенсионному страхованию</w:t>
      </w:r>
      <w:r>
        <w:rPr>
          <w:b/>
          <w:color w:val="000000"/>
          <w:sz w:val="26"/>
          <w:szCs w:val="26"/>
        </w:rPr>
        <w:t xml:space="preserve"> при условии внесения НПФ в реестр участников системы гарантирования прав застрахованных лиц</w:t>
      </w:r>
      <w:r>
        <w:rPr>
          <w:color w:val="000000"/>
          <w:sz w:val="26"/>
          <w:szCs w:val="26"/>
        </w:rPr>
        <w:t xml:space="preserve">. </w:t>
      </w:r>
      <w:r>
        <w:rPr>
          <w:sz w:val="26"/>
          <w:szCs w:val="26"/>
        </w:rPr>
        <w:t>Информация об НПФ, вошедших в систему гарантирования прав застрахованных лиц, раз</w:t>
        <w:softHyphen/>
        <w:t>мещается на сайте Агентства по страхованию вкладов в разделе «Гарантирование пенсий»</w:t>
      </w:r>
      <w:r>
        <w:rPr>
          <w:b/>
          <w:color w:val="C00000"/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hyperlink r:id="rId4">
        <w:r>
          <w:rPr>
            <w:rStyle w:val="Style14"/>
            <w:sz w:val="26"/>
            <w:szCs w:val="26"/>
            <w:lang w:val="en-US"/>
          </w:rPr>
          <w:t>www</w:t>
        </w:r>
        <w:r>
          <w:rPr>
            <w:rStyle w:val="Style14"/>
            <w:sz w:val="26"/>
            <w:szCs w:val="26"/>
          </w:rPr>
          <w:t>.</w:t>
        </w:r>
        <w:r>
          <w:rPr>
            <w:rStyle w:val="Style14"/>
            <w:sz w:val="26"/>
            <w:szCs w:val="26"/>
            <w:lang w:val="en-US"/>
          </w:rPr>
          <w:t>asv</w:t>
        </w:r>
        <w:r>
          <w:rPr>
            <w:rStyle w:val="Style14"/>
            <w:sz w:val="26"/>
            <w:szCs w:val="26"/>
          </w:rPr>
          <w:t>.</w:t>
        </w:r>
        <w:r>
          <w:rPr>
            <w:rStyle w:val="Style14"/>
            <w:sz w:val="26"/>
            <w:szCs w:val="26"/>
            <w:lang w:val="en-US"/>
          </w:rPr>
          <w:t>org</w:t>
        </w:r>
        <w:r>
          <w:rPr>
            <w:rStyle w:val="Style14"/>
            <w:sz w:val="26"/>
            <w:szCs w:val="26"/>
          </w:rPr>
          <w:t>.</w:t>
        </w:r>
        <w:r>
          <w:rPr>
            <w:rStyle w:val="Style14"/>
            <w:sz w:val="26"/>
            <w:szCs w:val="26"/>
            <w:lang w:val="en-US"/>
          </w:rPr>
          <w:t>ru</w:t>
        </w:r>
        <w:r>
          <w:rPr>
            <w:rStyle w:val="Style14"/>
            <w:sz w:val="26"/>
            <w:szCs w:val="26"/>
          </w:rPr>
          <w:t>/</w:t>
        </w:r>
        <w:r>
          <w:rPr>
            <w:rStyle w:val="Style14"/>
            <w:sz w:val="26"/>
            <w:szCs w:val="26"/>
            <w:lang w:val="en-US"/>
          </w:rPr>
          <w:t>pension</w:t>
        </w:r>
      </w:hyperlink>
      <w:r>
        <w:rPr>
          <w:sz w:val="26"/>
          <w:szCs w:val="26"/>
        </w:rPr>
        <w:t xml:space="preserve">). </w:t>
      </w:r>
      <w:r>
        <w:rPr>
          <w:bCs/>
          <w:color w:val="000000"/>
          <w:sz w:val="26"/>
          <w:szCs w:val="26"/>
        </w:rPr>
        <w:t>Для перевода средств пенсионных накоплений в НПФ, кроме подачи заявления в ПФР, необходимо заключить договор об обязательном пенсионном страховании, обратившись непосредственно в выбранный НПФ.</w:t>
      </w:r>
      <w:r/>
    </w:p>
    <w:p>
      <w:pPr>
        <w:pStyle w:val="Normal"/>
        <w:ind w:left="360" w:hanging="0"/>
        <w:jc w:val="center"/>
        <w:rPr>
          <w:sz w:val="28"/>
          <w:b/>
          <w:sz w:val="28"/>
          <w:b/>
          <w:szCs w:val="28"/>
          <w:color w:val="000080"/>
        </w:rPr>
      </w:pPr>
      <w:r>
        <w:rPr>
          <w:b/>
          <w:color w:val="000080"/>
          <w:sz w:val="28"/>
          <w:szCs w:val="28"/>
        </w:rPr>
        <w:t>Способы подачи заявлений о выборе УК или НПФ:</w:t>
      </w:r>
      <w:r/>
    </w:p>
    <w:p>
      <w:pPr>
        <w:pStyle w:val="Normal"/>
        <w:widowControl w:val="false"/>
        <w:numPr>
          <w:ilvl w:val="0"/>
          <w:numId w:val="3"/>
        </w:numPr>
        <w:spacing w:lineRule="auto" w:line="240" w:before="0" w:after="0"/>
        <w:jc w:val="both"/>
        <w:rPr>
          <w:sz w:val="26"/>
          <w:sz w:val="26"/>
          <w:szCs w:val="26"/>
          <w:bCs/>
          <w:color w:val="000000"/>
        </w:rPr>
      </w:pPr>
      <w:r>
        <w:rPr>
          <w:bCs/>
          <w:color w:val="000000"/>
          <w:sz w:val="26"/>
          <w:szCs w:val="26"/>
        </w:rPr>
        <w:t>лично в любой территориальный орган ПФР;</w:t>
      </w:r>
      <w:r/>
    </w:p>
    <w:p>
      <w:pPr>
        <w:pStyle w:val="Normal"/>
        <w:widowControl w:val="false"/>
        <w:numPr>
          <w:ilvl w:val="0"/>
          <w:numId w:val="3"/>
        </w:numPr>
        <w:spacing w:lineRule="auto" w:line="240" w:before="0" w:after="0"/>
        <w:jc w:val="both"/>
        <w:rPr>
          <w:sz w:val="26"/>
          <w:sz w:val="26"/>
          <w:szCs w:val="26"/>
          <w:bCs/>
          <w:color w:val="000000"/>
        </w:rPr>
      </w:pPr>
      <w:r>
        <w:rPr>
          <w:bCs/>
          <w:color w:val="000000"/>
          <w:sz w:val="26"/>
          <w:szCs w:val="26"/>
        </w:rPr>
        <w:t>через многофункциональный центр предоставления государственных и муниципальных услуг;</w:t>
      </w:r>
      <w:r/>
    </w:p>
    <w:p>
      <w:pPr>
        <w:pStyle w:val="Normal"/>
        <w:widowControl w:val="false"/>
        <w:numPr>
          <w:ilvl w:val="0"/>
          <w:numId w:val="3"/>
        </w:numPr>
        <w:spacing w:lineRule="auto" w:line="240" w:before="0" w:after="0"/>
        <w:jc w:val="both"/>
        <w:rPr>
          <w:sz w:val="26"/>
          <w:sz w:val="26"/>
          <w:szCs w:val="26"/>
          <w:bCs/>
          <w:color w:val="000000"/>
        </w:rPr>
      </w:pPr>
      <w:r>
        <w:rPr>
          <w:bCs/>
          <w:color w:val="000000"/>
          <w:sz w:val="26"/>
          <w:szCs w:val="26"/>
        </w:rPr>
        <w:t>в электронном виде через портал государственных и муниципальных услуг ( «Личный кабинет застрахованного лица» на сайте ПФР после  ввода в эксплуатацию);</w:t>
      </w:r>
      <w:r/>
    </w:p>
    <w:p>
      <w:pPr>
        <w:pStyle w:val="Normal"/>
        <w:widowControl w:val="false"/>
        <w:numPr>
          <w:ilvl w:val="0"/>
          <w:numId w:val="3"/>
        </w:numPr>
        <w:spacing w:lineRule="auto" w:line="240" w:before="0" w:after="0"/>
        <w:ind w:left="567" w:hanging="360"/>
        <w:jc w:val="both"/>
        <w:rPr>
          <w:sz w:val="26"/>
          <w:sz w:val="26"/>
          <w:szCs w:val="26"/>
          <w:bCs/>
          <w:color w:val="000000"/>
        </w:rPr>
      </w:pPr>
      <w:r>
        <w:rPr>
          <w:bCs/>
          <w:color w:val="000000"/>
          <w:sz w:val="26"/>
          <w:szCs w:val="26"/>
        </w:rPr>
        <w:t>по почте, при  этом  подлинность подписи на заявлении застрахованного лица удостоверяется: нотариусом или в порядке, установленном п. 2  ст. 185.1 ГК РФ; должностными лицами консульских учреждений, если застрахованное лицо находится за пределами РФ;</w:t>
      </w:r>
      <w:r/>
    </w:p>
    <w:p>
      <w:pPr>
        <w:pStyle w:val="Normal"/>
        <w:widowControl w:val="false"/>
        <w:numPr>
          <w:ilvl w:val="0"/>
          <w:numId w:val="3"/>
        </w:numPr>
        <w:tabs>
          <w:tab w:val="left" w:pos="709" w:leader="none"/>
        </w:tabs>
        <w:spacing w:lineRule="auto" w:line="240" w:before="0" w:after="0"/>
        <w:ind w:left="709" w:hanging="283"/>
        <w:jc w:val="both"/>
        <w:rPr>
          <w:sz w:val="26"/>
          <w:sz w:val="26"/>
          <w:szCs w:val="26"/>
          <w:bCs/>
          <w:color w:val="000000"/>
        </w:rPr>
      </w:pPr>
      <w:r>
        <w:rPr>
          <w:bCs/>
          <w:color w:val="000000"/>
          <w:sz w:val="26"/>
          <w:szCs w:val="26"/>
        </w:rPr>
        <w:t>через представителя застрахованного лица (по нотариально выданной доверенности).</w:t>
      </w:r>
      <w:r/>
    </w:p>
    <w:p>
      <w:pPr>
        <w:pStyle w:val="Normal"/>
        <w:widowControl w:val="false"/>
        <w:jc w:val="both"/>
        <w:rPr>
          <w:sz w:val="26"/>
          <w:b/>
          <w:sz w:val="26"/>
          <w:b/>
          <w:szCs w:val="26"/>
          <w:rFonts w:cs="Calibri"/>
        </w:rPr>
      </w:pPr>
      <w:r>
        <w:rPr>
          <w:rFonts w:cs="Calibri"/>
          <w:b/>
          <w:sz w:val="26"/>
          <w:szCs w:val="26"/>
        </w:rPr>
      </w:r>
      <w:r/>
    </w:p>
    <w:p>
      <w:pPr>
        <w:pStyle w:val="Normal"/>
        <w:widowControl w:val="false"/>
        <w:jc w:val="both"/>
        <w:rPr>
          <w:sz w:val="26"/>
          <w:b/>
          <w:sz w:val="26"/>
          <w:b/>
          <w:szCs w:val="26"/>
          <w:rFonts w:cs="Calibri"/>
        </w:rPr>
      </w:pPr>
      <w:r>
        <w:rPr>
          <w:rFonts w:cs="Calibri"/>
          <w:color w:val="FF0000"/>
          <w:sz w:val="28"/>
          <w:szCs w:val="28"/>
        </w:rPr>
        <w:t xml:space="preserve"> </w:t>
      </w:r>
      <w:r>
        <w:rPr>
          <w:rFonts w:cs="Calibri"/>
          <w:color w:val="FF0000"/>
          <w:sz w:val="28"/>
          <w:szCs w:val="28"/>
        </w:rPr>
        <w:t>!!!</w:t>
      </w:r>
      <w:r>
        <w:rPr>
          <w:rFonts w:cs="Calibri"/>
          <w:b/>
          <w:sz w:val="23"/>
          <w:szCs w:val="23"/>
        </w:rPr>
        <w:t xml:space="preserve"> </w:t>
      </w:r>
      <w:r>
        <w:rPr>
          <w:rFonts w:cs="Calibri"/>
          <w:b/>
          <w:sz w:val="26"/>
          <w:szCs w:val="26"/>
          <w:lang w:val="en-US"/>
        </w:rPr>
        <w:t>C</w:t>
      </w:r>
      <w:r>
        <w:rPr>
          <w:rFonts w:cs="Calibri"/>
          <w:b/>
          <w:sz w:val="26"/>
          <w:szCs w:val="26"/>
        </w:rPr>
        <w:t xml:space="preserve"> 2015 года на сайте ПФР (</w:t>
      </w:r>
      <w:hyperlink r:id="rId5">
        <w:r>
          <w:rPr>
            <w:rStyle w:val="Style14"/>
            <w:rFonts w:cs="Calibri"/>
            <w:b/>
            <w:sz w:val="26"/>
            <w:szCs w:val="26"/>
            <w:lang w:val="en-US"/>
          </w:rPr>
          <w:t>www</w:t>
        </w:r>
        <w:r>
          <w:rPr>
            <w:rStyle w:val="Style14"/>
            <w:rFonts w:cs="Calibri"/>
            <w:b/>
            <w:sz w:val="26"/>
            <w:szCs w:val="26"/>
          </w:rPr>
          <w:t>.</w:t>
        </w:r>
        <w:r>
          <w:rPr>
            <w:rStyle w:val="Style14"/>
            <w:rFonts w:cs="Calibri"/>
            <w:b/>
            <w:sz w:val="26"/>
            <w:szCs w:val="26"/>
            <w:lang w:val="en-US"/>
          </w:rPr>
          <w:t>pfrf</w:t>
        </w:r>
        <w:r>
          <w:rPr>
            <w:rStyle w:val="Style14"/>
            <w:rFonts w:cs="Calibri"/>
            <w:b/>
            <w:sz w:val="26"/>
            <w:szCs w:val="26"/>
          </w:rPr>
          <w:t>.</w:t>
        </w:r>
        <w:r>
          <w:rPr>
            <w:rStyle w:val="Style14"/>
            <w:rFonts w:cs="Calibri"/>
            <w:b/>
            <w:sz w:val="26"/>
            <w:szCs w:val="26"/>
            <w:lang w:val="en-US"/>
          </w:rPr>
          <w:t>ru</w:t>
        </w:r>
      </w:hyperlink>
      <w:r>
        <w:rPr>
          <w:rFonts w:cs="Calibri"/>
          <w:b/>
          <w:sz w:val="26"/>
          <w:szCs w:val="26"/>
        </w:rPr>
        <w:t>) реализован «Личный кабинет застрахованного лица», в котором можно уточнить сведения о страховщике, о варианте пенсионного обеспечения в системе обязательного пенсионного страхования и получить извещение о состоянии индивидуального лицевого счета. Для доступа в «Личный кабинет» используется тот же пароль, что и на Едином портале госуслуг.</w:t>
      </w:r>
      <w:r/>
    </w:p>
    <w:p>
      <w:pPr>
        <w:pStyle w:val="Normal"/>
        <w:ind w:left="360" w:hanging="0"/>
        <w:jc w:val="both"/>
        <w:rPr>
          <w:sz w:val="24"/>
          <w:b/>
          <w:sz w:val="24"/>
          <w:b/>
          <w:szCs w:val="24"/>
          <w:color w:val="000080"/>
        </w:rPr>
      </w:pPr>
      <w:r>
        <w:rPr>
          <w:bCs/>
          <w:sz w:val="24"/>
          <w:szCs w:val="24"/>
        </w:rPr>
        <w:tab/>
      </w:r>
      <w:r/>
    </w:p>
    <w:p>
      <w:pPr>
        <w:pStyle w:val="Normal"/>
        <w:numPr>
          <w:ilvl w:val="0"/>
          <w:numId w:val="0"/>
        </w:numPr>
        <w:ind w:left="176" w:hanging="0"/>
        <w:jc w:val="center"/>
        <w:outlineLvl w:val="0"/>
        <w:rPr>
          <w:sz w:val="28"/>
          <w:b/>
          <w:sz w:val="28"/>
          <w:b/>
          <w:szCs w:val="28"/>
          <w:bCs/>
          <w:color w:val="0000FF"/>
        </w:rPr>
      </w:pPr>
      <w:r>
        <w:rPr>
          <w:b/>
          <w:bCs/>
          <w:color w:val="FF0000"/>
          <w:sz w:val="32"/>
          <w:szCs w:val="32"/>
        </w:rPr>
        <w:t>ВАЖНО!!!</w:t>
      </w:r>
      <w:r>
        <w:rPr>
          <w:b/>
          <w:bCs/>
          <w:color w:val="0000FF"/>
          <w:sz w:val="26"/>
          <w:szCs w:val="26"/>
        </w:rPr>
        <w:t xml:space="preserve">   </w:t>
      </w:r>
      <w:r>
        <w:rPr>
          <w:b/>
          <w:bCs/>
          <w:color w:val="0000FF"/>
          <w:sz w:val="28"/>
          <w:szCs w:val="28"/>
        </w:rPr>
        <w:t xml:space="preserve">С 1 января 2015 года существенно изменен порядок перевода средств пенсионных накоплений в негосударственные пенсионные фонды и обратно                                        в  Пенсионный фонд России. </w:t>
      </w:r>
      <w:r/>
    </w:p>
    <w:p>
      <w:pPr>
        <w:pStyle w:val="Normal"/>
        <w:numPr>
          <w:ilvl w:val="0"/>
          <w:numId w:val="0"/>
        </w:numPr>
        <w:ind w:left="176" w:hanging="0"/>
        <w:jc w:val="center"/>
        <w:outlineLvl w:val="0"/>
        <w:rPr>
          <w:sz w:val="28"/>
          <w:b/>
          <w:sz w:val="28"/>
          <w:b/>
          <w:szCs w:val="28"/>
          <w:bCs/>
          <w:color w:val="0000FF"/>
        </w:rPr>
      </w:pPr>
      <w:r>
        <w:rPr>
          <w:b/>
          <w:bCs/>
          <w:color w:val="0000FF"/>
          <w:sz w:val="28"/>
          <w:szCs w:val="28"/>
        </w:rPr>
        <w:t>Выбирать страховщика с целью инвестирования средств пенсионных накоплений без потери инвестиционного дохода теперь можно один раз в 5 лет.</w:t>
      </w:r>
      <w:r/>
    </w:p>
    <w:p>
      <w:pPr>
        <w:pStyle w:val="Normal"/>
        <w:numPr>
          <w:ilvl w:val="0"/>
          <w:numId w:val="0"/>
        </w:numPr>
        <w:ind w:left="176" w:firstLine="60"/>
        <w:jc w:val="center"/>
        <w:outlineLvl w:val="0"/>
        <w:rPr>
          <w:sz w:val="28"/>
          <w:b/>
          <w:sz w:val="28"/>
          <w:b/>
          <w:szCs w:val="28"/>
          <w:bCs/>
          <w:color w:val="0000FF"/>
        </w:rPr>
      </w:pPr>
      <w:r>
        <w:rPr>
          <w:b/>
          <w:bCs/>
          <w:color w:val="0000FF"/>
          <w:sz w:val="28"/>
          <w:szCs w:val="28"/>
        </w:rPr>
        <w:t>При этом сохраняется право застрахованного лица на перевод пенсионных накоплений  в году, следующим за годом подачи заявления.</w:t>
      </w:r>
      <w:r/>
    </w:p>
    <w:p>
      <w:pPr>
        <w:pStyle w:val="Normal"/>
        <w:numPr>
          <w:ilvl w:val="0"/>
          <w:numId w:val="0"/>
        </w:numPr>
        <w:ind w:left="176" w:firstLine="60"/>
        <w:jc w:val="both"/>
        <w:outlineLvl w:val="0"/>
        <w:rPr>
          <w:sz w:val="28"/>
          <w:b/>
          <w:sz w:val="28"/>
          <w:b/>
          <w:szCs w:val="28"/>
          <w:bCs/>
        </w:rPr>
      </w:pPr>
      <w:r>
        <w:rPr>
          <w:b/>
          <w:bCs/>
          <w:sz w:val="28"/>
          <w:szCs w:val="28"/>
        </w:rPr>
        <w:t>С указанной целью вводятся понятия "заявление застрахованного лица о переходе", "заявление застрахованного лица о досрочном переходе", "уведомление о замене".</w:t>
      </w:r>
      <w:r/>
    </w:p>
    <w:p>
      <w:pPr>
        <w:pStyle w:val="Normal"/>
        <w:numPr>
          <w:ilvl w:val="0"/>
          <w:numId w:val="5"/>
        </w:numPr>
        <w:jc w:val="both"/>
        <w:rPr>
          <w:sz w:val="28"/>
          <w:b/>
          <w:sz w:val="28"/>
          <w:b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Заявление о переходе - перевод средств осуществляется до 31 марта года, следующего за годом, в котором истекает </w:t>
      </w:r>
      <w:r>
        <w:rPr>
          <w:b/>
          <w:sz w:val="28"/>
          <w:szCs w:val="28"/>
          <w:u w:val="single"/>
          <w:lang w:eastAsia="en-US"/>
        </w:rPr>
        <w:t>пятилетний срок</w:t>
      </w:r>
      <w:r>
        <w:rPr>
          <w:b/>
          <w:sz w:val="28"/>
          <w:szCs w:val="28"/>
          <w:lang w:eastAsia="en-US"/>
        </w:rPr>
        <w:t xml:space="preserve"> с года подачи такого заявления. Инвестиционный доход сохраняется.</w:t>
      </w:r>
      <w:r/>
    </w:p>
    <w:p>
      <w:pPr>
        <w:pStyle w:val="Normal"/>
        <w:numPr>
          <w:ilvl w:val="0"/>
          <w:numId w:val="5"/>
        </w:numPr>
        <w:jc w:val="both"/>
        <w:outlineLvl w:val="0"/>
        <w:rPr>
          <w:sz w:val="28"/>
          <w:b/>
          <w:sz w:val="28"/>
          <w:b/>
          <w:szCs w:val="28"/>
          <w:bCs/>
        </w:rPr>
      </w:pPr>
      <w:r>
        <w:rPr>
          <w:b/>
          <w:sz w:val="28"/>
          <w:szCs w:val="28"/>
          <w:lang w:eastAsia="en-US"/>
        </w:rPr>
        <w:t xml:space="preserve">Заявление о досрочном переходе  - </w:t>
      </w:r>
      <w:r>
        <w:rPr>
          <w:b/>
          <w:bCs/>
          <w:sz w:val="28"/>
          <w:szCs w:val="28"/>
        </w:rPr>
        <w:t xml:space="preserve">переход к новому страховщику осуществляется в году, следующем за годом подачи заявления. </w:t>
      </w:r>
      <w:r/>
    </w:p>
    <w:p>
      <w:pPr>
        <w:pStyle w:val="Normal"/>
        <w:numPr>
          <w:ilvl w:val="0"/>
          <w:numId w:val="0"/>
        </w:numPr>
        <w:ind w:left="539" w:hanging="0"/>
        <w:jc w:val="both"/>
        <w:outlineLvl w:val="0"/>
        <w:rPr>
          <w:sz w:val="28"/>
          <w:b/>
          <w:sz w:val="28"/>
          <w:b/>
          <w:szCs w:val="28"/>
          <w:bCs/>
          <w:color w:val="FF0000"/>
        </w:rPr>
      </w:pPr>
      <w:r>
        <w:rPr>
          <w:b/>
          <w:bCs/>
          <w:color w:val="FF0000"/>
          <w:sz w:val="28"/>
          <w:szCs w:val="28"/>
        </w:rPr>
        <w:t>!!!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color w:val="FF0000"/>
          <w:sz w:val="28"/>
          <w:szCs w:val="28"/>
        </w:rPr>
        <w:t>Перевод средств пенсионных накоплений осуществляется без учета инвестиционного дохода с даты последнего расчета гарантируемой суммы, или с учетом отрицательного результата инвестирования.</w:t>
      </w:r>
      <w:r/>
    </w:p>
    <w:p>
      <w:pPr>
        <w:pStyle w:val="Normal"/>
        <w:numPr>
          <w:ilvl w:val="0"/>
          <w:numId w:val="6"/>
        </w:numPr>
        <w:jc w:val="both"/>
        <w:outlineLvl w:val="0"/>
        <w:rPr>
          <w:sz w:val="28"/>
          <w:b/>
          <w:sz w:val="28"/>
          <w:b/>
          <w:szCs w:val="28"/>
          <w:bCs/>
        </w:rPr>
      </w:pPr>
      <w:r>
        <w:rPr>
          <w:b/>
          <w:bCs/>
          <w:sz w:val="28"/>
          <w:szCs w:val="28"/>
        </w:rPr>
        <w:t xml:space="preserve">Уведомление о замене </w:t>
      </w:r>
      <w:r>
        <w:rPr>
          <w:b/>
          <w:sz w:val="28"/>
          <w:szCs w:val="28"/>
        </w:rPr>
        <w:t>направляется застрахованным лицом  в ПФР в случае, если застрахованное лицо решило изменить выбранного  страховщика по обязательному пенсионному страхованию (ПФР либо НПФ)  в срок не позднее 31 декабря года, предшествующего году, в котором должно быть удовлетворено заявление застрахованного лица о переходе.</w:t>
      </w:r>
      <w:r>
        <w:rPr>
          <w:rFonts w:ascii="Arial" w:hAnsi="Arial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/>
    </w:p>
    <w:p>
      <w:pPr>
        <w:pStyle w:val="Normal"/>
        <w:numPr>
          <w:ilvl w:val="0"/>
          <w:numId w:val="0"/>
        </w:numPr>
        <w:spacing w:lineRule="auto" w:line="240"/>
        <w:ind w:left="142" w:firstLine="397"/>
        <w:jc w:val="center"/>
        <w:outlineLvl w:val="0"/>
        <w:rPr>
          <w:sz w:val="28"/>
          <w:i/>
          <w:b/>
          <w:sz w:val="28"/>
          <w:i/>
          <w:b/>
          <w:szCs w:val="28"/>
          <w:color w:val="0000FF"/>
        </w:rPr>
      </w:pPr>
      <w:r>
        <w:rPr>
          <w:b/>
          <w:i/>
          <w:color w:val="0000FF"/>
          <w:sz w:val="28"/>
          <w:szCs w:val="28"/>
        </w:rPr>
        <w:t xml:space="preserve">Гражданам следует обдуманно подходить к выбору страховщика </w:t>
      </w:r>
      <w:r/>
    </w:p>
    <w:p>
      <w:pPr>
        <w:pStyle w:val="Normal"/>
        <w:numPr>
          <w:ilvl w:val="0"/>
          <w:numId w:val="0"/>
        </w:numPr>
        <w:spacing w:lineRule="auto" w:line="240"/>
        <w:ind w:left="142" w:firstLine="397"/>
        <w:jc w:val="center"/>
        <w:outlineLvl w:val="0"/>
        <w:rPr>
          <w:sz w:val="28"/>
          <w:i/>
          <w:b/>
          <w:sz w:val="28"/>
          <w:i/>
          <w:b/>
          <w:szCs w:val="28"/>
          <w:color w:val="0000FF"/>
        </w:rPr>
      </w:pPr>
      <w:r>
        <w:rPr>
          <w:b/>
          <w:i/>
          <w:color w:val="0000FF"/>
          <w:sz w:val="28"/>
          <w:szCs w:val="28"/>
        </w:rPr>
        <w:t>и периодичности смены НПФ или ПФР</w:t>
      </w:r>
      <w:r/>
    </w:p>
    <w:p>
      <w:pPr>
        <w:pStyle w:val="Normal"/>
        <w:ind w:right="358" w:hanging="0"/>
        <w:rPr>
          <w:sz w:val="20"/>
          <w:b/>
          <w:sz w:val="20"/>
          <w:b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</w:t>
      </w:r>
      <w:r/>
    </w:p>
    <w:p>
      <w:pPr>
        <w:pStyle w:val="Normal"/>
        <w:ind w:left="539" w:firstLine="170"/>
        <w:jc w:val="both"/>
        <w:rPr>
          <w:sz w:val="26"/>
          <w:i/>
          <w:b/>
          <w:sz w:val="26"/>
          <w:i/>
          <w:b/>
          <w:szCs w:val="26"/>
        </w:rPr>
      </w:pPr>
      <w:r>
        <w:rPr>
          <w:b/>
          <w:color w:val="000000"/>
          <w:sz w:val="26"/>
          <w:szCs w:val="26"/>
        </w:rPr>
        <w:t xml:space="preserve">Подробную информацию о формировании средств пенсионных накоплений, о выборе УК или НПФ можно получить в Управлениях ПФР  по месту жительства </w:t>
      </w:r>
      <w:r>
        <w:rPr>
          <w:b/>
          <w:sz w:val="26"/>
          <w:szCs w:val="26"/>
        </w:rPr>
        <w:t>или в Отделении ПФР  по Республике Мордовия  по телефону  (8342) 32-75-61,</w:t>
      </w:r>
      <w:r>
        <w:rPr>
          <w:b/>
          <w:i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а также на официальном сайте Пенсионного фонда РФ по адресу: </w:t>
      </w:r>
      <w:r>
        <w:rPr>
          <w:b/>
          <w:sz w:val="26"/>
          <w:szCs w:val="26"/>
          <w:u w:val="single"/>
          <w:lang w:val="en-US"/>
        </w:rPr>
        <w:t>www</w:t>
      </w:r>
      <w:hyperlink r:id="rId6">
        <w:r>
          <w:rPr>
            <w:rStyle w:val="Style14"/>
            <w:b/>
            <w:sz w:val="26"/>
            <w:szCs w:val="26"/>
          </w:rPr>
          <w:t>.pfrf.ru</w:t>
        </w:r>
      </w:hyperlink>
      <w:r>
        <w:rPr>
          <w:b/>
          <w:sz w:val="26"/>
          <w:szCs w:val="26"/>
        </w:rPr>
        <w:t>.</w:t>
      </w:r>
      <w:r/>
    </w:p>
    <w:p>
      <w:pPr>
        <w:pStyle w:val="Normal"/>
        <w:spacing w:lineRule="auto" w:line="240"/>
        <w:ind w:left="3540" w:right="357" w:hanging="0"/>
        <w:rPr>
          <w:sz w:val="24"/>
          <w:b/>
          <w:sz w:val="24"/>
          <w:b/>
          <w:szCs w:val="24"/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 xml:space="preserve">Государственное учреждение – Отделение Пенсионного фонда  Российской Федерации по Республике Мордовия  </w:t>
      </w:r>
      <w:r/>
    </w:p>
    <w:p>
      <w:pPr>
        <w:pStyle w:val="Normal"/>
        <w:spacing w:lineRule="auto" w:line="240"/>
        <w:ind w:left="3540" w:right="357" w:hanging="0"/>
        <w:rPr>
          <w:sz w:val="24"/>
          <w:b/>
          <w:sz w:val="24"/>
          <w:b/>
          <w:szCs w:val="24"/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</w:r>
      <w:r/>
    </w:p>
    <w:p>
      <w:pPr>
        <w:pStyle w:val="Normal"/>
        <w:widowControl/>
        <w:bidi w:val="0"/>
        <w:spacing w:lineRule="auto" w:line="276" w:before="0" w:after="200"/>
        <w:jc w:val="left"/>
      </w:pPr>
      <w:r>
        <w:rPr/>
      </w:r>
      <w:r/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ahoma">
    <w:charset w:val="cc"/>
    <w:family w:val="roman"/>
    <w:pitch w:val="variable"/>
  </w:font>
  <w:font w:name="Arial">
    <w:charset w:val="cc"/>
    <w:family w:val="roman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790"/>
        </w:tabs>
        <w:ind w:left="179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ind w:left="25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7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1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8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0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956"/>
        </w:tabs>
        <w:ind w:left="95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676"/>
        </w:tabs>
        <w:ind w:left="16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96"/>
        </w:tabs>
        <w:ind w:left="239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116"/>
        </w:tabs>
        <w:ind w:left="311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836"/>
        </w:tabs>
        <w:ind w:left="38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56"/>
        </w:tabs>
        <w:ind w:left="455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276"/>
        </w:tabs>
        <w:ind w:left="527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996"/>
        </w:tabs>
        <w:ind w:left="59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16"/>
        </w:tabs>
        <w:ind w:left="6716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sz w:val="22"/>
        <w:szCs w:val="22"/>
        <w:lang w:val="ru-RU" w:eastAsia="ru-RU" w:bidi="ar-SA"/>
      </w:rPr>
    </w:rPrDefault>
    <w:pPrDefault>
      <w:pPr/>
    </w:pPrDefault>
  </w:docDefaults>
  <w:latentStyles w:count="267" w:defQFormat="0" w:defUnhideWhenUsed="1" w:defSemiHidden="1" w:defUIPriority="99" w:defLockedState="0">
    <w:lsdException w:qFormat="1" w:semiHidden="0" w:unhideWhenUsed="0" w:uiPriority="0" w:locked="1" w:name="Normal"/>
    <w:lsdException w:qFormat="1" w:semiHidden="0" w:unhideWhenUsed="0" w:uiPriority="0" w:locked="1" w:name="heading 1"/>
    <w:lsdException w:qFormat="1" w:uiPriority="0" w:locked="1" w:name="heading 2"/>
    <w:lsdException w:qFormat="1" w:uiPriority="0" w:locked="1" w:name="heading 3"/>
    <w:lsdException w:qFormat="1" w:uiPriority="0" w:locked="1" w:name="heading 4"/>
    <w:lsdException w:qFormat="1" w:uiPriority="0" w:locked="1" w:name="heading 5"/>
    <w:lsdException w:qFormat="1" w:uiPriority="0" w:locked="1" w:name="heading 6"/>
    <w:lsdException w:qFormat="1" w:uiPriority="0" w:locked="1" w:name="heading 7"/>
    <w:lsdException w:qFormat="1" w:uiPriority="0" w:locked="1" w:name="heading 8"/>
    <w:lsdException w:qFormat="1" w:uiPriority="0" w:locked="1" w:name="heading 9"/>
    <w:lsdException w:semiHidden="0" w:unhideWhenUsed="0" w:uiPriority="0" w:locked="1" w:name="toc 1"/>
    <w:lsdException w:semiHidden="0" w:unhideWhenUsed="0" w:uiPriority="0" w:locked="1" w:name="toc 2"/>
    <w:lsdException w:semiHidden="0" w:unhideWhenUsed="0" w:uiPriority="0" w:locked="1" w:name="toc 3"/>
    <w:lsdException w:semiHidden="0" w:unhideWhenUsed="0" w:uiPriority="0" w:locked="1" w:name="toc 4"/>
    <w:lsdException w:semiHidden="0" w:unhideWhenUsed="0" w:uiPriority="0" w:locked="1" w:name="toc 5"/>
    <w:lsdException w:semiHidden="0" w:unhideWhenUsed="0" w:uiPriority="0" w:locked="1" w:name="toc 6"/>
    <w:lsdException w:semiHidden="0" w:unhideWhenUsed="0" w:uiPriority="0" w:locked="1" w:name="toc 7"/>
    <w:lsdException w:semiHidden="0" w:unhideWhenUsed="0" w:uiPriority="0" w:locked="1" w:name="toc 8"/>
    <w:lsdException w:semiHidden="0" w:unhideWhenUsed="0" w:uiPriority="0" w:locked="1" w:name="toc 9"/>
    <w:lsdException w:qFormat="1" w:uiPriority="0" w:locked="1" w:name="caption"/>
    <w:lsdException w:qFormat="1" w:semiHidden="0" w:unhideWhenUsed="0" w:uiPriority="0" w:locked="1" w:name="Title"/>
    <w:lsdException w:semiHidden="0" w:unhideWhenUsed="0" w:uiPriority="0" w:locked="1" w:name="Default Paragraph Font"/>
    <w:lsdException w:qFormat="1" w:semiHidden="0" w:unhideWhenUsed="0" w:uiPriority="0" w:locked="1" w:name="Subtitle"/>
    <w:lsdException w:semiHidden="0" w:unhideWhenUsed="0" w:uiPriority="0" w:locked="1" w:name="Hyperlink"/>
    <w:lsdException w:qFormat="1" w:semiHidden="0" w:unhideWhenUsed="0" w:uiPriority="0" w:locked="1" w:name="Strong"/>
    <w:lsdException w:qFormat="1" w:semiHidden="0" w:unhideWhenUsed="0" w:uiPriority="0" w:locked="1" w:name="Emphasis"/>
    <w:lsdException w:semiHidden="0" w:unhideWhenUsed="0" w:uiPriority="0" w:locked="1" w:name="Table Grid"/>
    <w:lsdException w:unhideWhenUsed="0" w:name="Placeholder Text"/>
    <w:lsdException w:qFormat="1" w:semiHidden="0" w:unhideWhenUsed="0" w:uiPriority="1" w:name="No Spacing"/>
    <w:lsdException w:semiHidden="0" w:unhideWhenUsed="0" w:uiPriority="60" w:name="Light Shading"/>
    <w:lsdException w:semiHidden="0" w:unhideWhenUsed="0" w:uiPriority="61" w:name="Light List"/>
    <w:lsdException w:semiHidden="0" w:unhideWhenUsed="0" w:uiPriority="62" w:name="Light Grid"/>
    <w:lsdException w:semiHidden="0" w:unhideWhenUsed="0" w:uiPriority="63" w:name="Medium Shading 1"/>
    <w:lsdException w:semiHidden="0" w:unhideWhenUsed="0" w:uiPriority="64" w:name="Medium Shading 2"/>
    <w:lsdException w:semiHidden="0" w:unhideWhenUsed="0" w:uiPriority="65" w:name="Medium List 1"/>
    <w:lsdException w:semiHidden="0" w:unhideWhenUsed="0" w:uiPriority="66" w:name="Medium List 2"/>
    <w:lsdException w:semiHidden="0" w:unhideWhenUsed="0" w:uiPriority="67" w:name="Medium Grid 1"/>
    <w:lsdException w:semiHidden="0" w:unhideWhenUsed="0" w:uiPriority="68" w:name="Medium Grid 2"/>
    <w:lsdException w:semiHidden="0" w:unhideWhenUsed="0" w:uiPriority="69" w:name="Medium Grid 3"/>
    <w:lsdException w:semiHidden="0" w:unhideWhenUsed="0" w:uiPriority="70" w:name="Dark List"/>
    <w:lsdException w:semiHidden="0" w:unhideWhenUsed="0" w:uiPriority="71" w:name="Colorful Shading"/>
    <w:lsdException w:semiHidden="0" w:unhideWhenUsed="0" w:uiPriority="72" w:name="Colorful List"/>
    <w:lsdException w:semiHidden="0" w:unhideWhenUsed="0" w:uiPriority="73" w:name="Colorful Grid"/>
    <w:lsdException w:semiHidden="0" w:unhideWhenUsed="0" w:uiPriority="60" w:name="Light Shading Accent 1"/>
    <w:lsdException w:semiHidden="0" w:unhideWhenUsed="0" w:uiPriority="61" w:name="Light List Accent 1"/>
    <w:lsdException w:semiHidden="0" w:unhideWhenUsed="0" w:uiPriority="62" w:name="Light Grid Accent 1"/>
    <w:lsdException w:semiHidden="0" w:unhideWhenUsed="0" w:uiPriority="63" w:name="Medium Shading 1 Accent 1"/>
    <w:lsdException w:semiHidden="0" w:unhideWhenUsed="0" w:uiPriority="64" w:name="Medium Shading 2 Accent 1"/>
    <w:lsdException w:semiHidden="0" w:unhideWhenUsed="0" w:uiPriority="65" w:name="Medium List 1 Accent 1"/>
    <w:lsdException w:unhideWhenUsed="0" w:name="Revision"/>
    <w:lsdException w:qFormat="1" w:semiHidden="0" w:unhideWhenUsed="0" w:uiPriority="34" w:name="List Paragraph"/>
    <w:lsdException w:qFormat="1" w:semiHidden="0" w:unhideWhenUsed="0" w:uiPriority="29" w:name="Quote"/>
    <w:lsdException w:qFormat="1" w:semiHidden="0" w:unhideWhenUsed="0" w:uiPriority="30" w:name="Intense Quote"/>
    <w:lsdException w:semiHidden="0" w:unhideWhenUsed="0" w:uiPriority="66" w:name="Medium List 2 Accent 1"/>
    <w:lsdException w:semiHidden="0" w:unhideWhenUsed="0" w:uiPriority="67" w:name="Medium Grid 1 Accent 1"/>
    <w:lsdException w:semiHidden="0" w:unhideWhenUsed="0" w:uiPriority="68" w:name="Medium Grid 2 Accent 1"/>
    <w:lsdException w:semiHidden="0" w:unhideWhenUsed="0" w:uiPriority="69" w:name="Medium Grid 3 Accent 1"/>
    <w:lsdException w:semiHidden="0" w:unhideWhenUsed="0" w:uiPriority="70" w:name="Dark List Accent 1"/>
    <w:lsdException w:semiHidden="0" w:unhideWhenUsed="0" w:uiPriority="71" w:name="Colorful Shading Accent 1"/>
    <w:lsdException w:semiHidden="0" w:unhideWhenUsed="0" w:uiPriority="72" w:name="Colorful List Accent 1"/>
    <w:lsdException w:semiHidden="0" w:unhideWhenUsed="0" w:uiPriority="73" w:name="Colorful Grid Accent 1"/>
    <w:lsdException w:semiHidden="0" w:unhideWhenUsed="0" w:uiPriority="60" w:name="Light Shading Accent 2"/>
    <w:lsdException w:semiHidden="0" w:unhideWhenUsed="0" w:uiPriority="61" w:name="Light List Accent 2"/>
    <w:lsdException w:semiHidden="0" w:unhideWhenUsed="0" w:uiPriority="62" w:name="Light Grid Accent 2"/>
    <w:lsdException w:semiHidden="0" w:unhideWhenUsed="0" w:uiPriority="63" w:name="Medium Shading 1 Accent 2"/>
    <w:lsdException w:semiHidden="0" w:unhideWhenUsed="0" w:uiPriority="64" w:name="Medium Shading 2 Accent 2"/>
    <w:lsdException w:semiHidden="0" w:unhideWhenUsed="0" w:uiPriority="65" w:name="Medium List 1 Accent 2"/>
    <w:lsdException w:semiHidden="0" w:unhideWhenUsed="0" w:uiPriority="66" w:name="Medium List 2 Accent 2"/>
    <w:lsdException w:semiHidden="0" w:unhideWhenUsed="0" w:uiPriority="67" w:name="Medium Grid 1 Accent 2"/>
    <w:lsdException w:semiHidden="0" w:unhideWhenUsed="0" w:uiPriority="68" w:name="Medium Grid 2 Accent 2"/>
    <w:lsdException w:semiHidden="0" w:unhideWhenUsed="0" w:uiPriority="69" w:name="Medium Grid 3 Accent 2"/>
    <w:lsdException w:semiHidden="0" w:unhideWhenUsed="0" w:uiPriority="70" w:name="Dark List Accent 2"/>
    <w:lsdException w:semiHidden="0" w:unhideWhenUsed="0" w:uiPriority="71" w:name="Colorful Shading Accent 2"/>
    <w:lsdException w:semiHidden="0" w:unhideWhenUsed="0" w:uiPriority="72" w:name="Colorful List Accent 2"/>
    <w:lsdException w:semiHidden="0" w:unhideWhenUsed="0" w:uiPriority="73" w:name="Colorful Grid Accent 2"/>
    <w:lsdException w:semiHidden="0" w:unhideWhenUsed="0" w:uiPriority="60" w:name="Light Shading Accent 3"/>
    <w:lsdException w:semiHidden="0" w:unhideWhenUsed="0" w:uiPriority="61" w:name="Light List Accent 3"/>
    <w:lsdException w:semiHidden="0" w:unhideWhenUsed="0" w:uiPriority="62" w:name="Light Grid Accent 3"/>
    <w:lsdException w:semiHidden="0" w:unhideWhenUsed="0" w:uiPriority="63" w:name="Medium Shading 1 Accent 3"/>
    <w:lsdException w:semiHidden="0" w:unhideWhenUsed="0" w:uiPriority="64" w:name="Medium Shading 2 Accent 3"/>
    <w:lsdException w:semiHidden="0" w:unhideWhenUsed="0" w:uiPriority="65" w:name="Medium List 1 Accent 3"/>
    <w:lsdException w:semiHidden="0" w:unhideWhenUsed="0" w:uiPriority="66" w:name="Medium List 2 Accent 3"/>
    <w:lsdException w:semiHidden="0" w:unhideWhenUsed="0" w:uiPriority="67" w:name="Medium Grid 1 Accent 3"/>
    <w:lsdException w:semiHidden="0" w:unhideWhenUsed="0" w:uiPriority="68" w:name="Medium Grid 2 Accent 3"/>
    <w:lsdException w:semiHidden="0" w:unhideWhenUsed="0" w:uiPriority="69" w:name="Medium Grid 3 Accent 3"/>
    <w:lsdException w:semiHidden="0" w:unhideWhenUsed="0" w:uiPriority="70" w:name="Dark List Accent 3"/>
    <w:lsdException w:semiHidden="0" w:unhideWhenUsed="0" w:uiPriority="71" w:name="Colorful Shading Accent 3"/>
    <w:lsdException w:semiHidden="0" w:unhideWhenUsed="0" w:uiPriority="72" w:name="Colorful List Accent 3"/>
    <w:lsdException w:semiHidden="0" w:unhideWhenUsed="0" w:uiPriority="73" w:name="Colorful Grid Accent 3"/>
    <w:lsdException w:semiHidden="0" w:unhideWhenUsed="0" w:uiPriority="60" w:name="Light Shading Accent 4"/>
    <w:lsdException w:semiHidden="0" w:unhideWhenUsed="0" w:uiPriority="61" w:name="Light List Accent 4"/>
    <w:lsdException w:semiHidden="0" w:unhideWhenUsed="0" w:uiPriority="62" w:name="Light Grid Accent 4"/>
    <w:lsdException w:semiHidden="0" w:unhideWhenUsed="0" w:uiPriority="63" w:name="Medium Shading 1 Accent 4"/>
    <w:lsdException w:semiHidden="0" w:unhideWhenUsed="0" w:uiPriority="64" w:name="Medium Shading 2 Accent 4"/>
    <w:lsdException w:semiHidden="0" w:unhideWhenUsed="0" w:uiPriority="65" w:name="Medium List 1 Accent 4"/>
    <w:lsdException w:semiHidden="0" w:unhideWhenUsed="0" w:uiPriority="66" w:name="Medium List 2 Accent 4"/>
    <w:lsdException w:semiHidden="0" w:unhideWhenUsed="0" w:uiPriority="67" w:name="Medium Grid 1 Accent 4"/>
    <w:lsdException w:semiHidden="0" w:unhideWhenUsed="0" w:uiPriority="68" w:name="Medium Grid 2 Accent 4"/>
    <w:lsdException w:semiHidden="0" w:unhideWhenUsed="0" w:uiPriority="69" w:name="Medium Grid 3 Accent 4"/>
    <w:lsdException w:semiHidden="0" w:unhideWhenUsed="0" w:uiPriority="70" w:name="Dark List Accent 4"/>
    <w:lsdException w:semiHidden="0" w:unhideWhenUsed="0" w:uiPriority="71" w:name="Colorful Shading Accent 4"/>
    <w:lsdException w:semiHidden="0" w:unhideWhenUsed="0" w:uiPriority="72" w:name="Colorful List Accent 4"/>
    <w:lsdException w:semiHidden="0" w:unhideWhenUsed="0" w:uiPriority="73" w:name="Colorful Grid Accent 4"/>
    <w:lsdException w:semiHidden="0" w:unhideWhenUsed="0" w:uiPriority="60" w:name="Light Shading Accent 5"/>
    <w:lsdException w:semiHidden="0" w:unhideWhenUsed="0" w:uiPriority="61" w:name="Light List Accent 5"/>
    <w:lsdException w:semiHidden="0" w:unhideWhenUsed="0" w:uiPriority="62" w:name="Light Grid Accent 5"/>
    <w:lsdException w:semiHidden="0" w:unhideWhenUsed="0" w:uiPriority="63" w:name="Medium Shading 1 Accent 5"/>
    <w:lsdException w:semiHidden="0" w:unhideWhenUsed="0" w:uiPriority="64" w:name="Medium Shading 2 Accent 5"/>
    <w:lsdException w:semiHidden="0" w:unhideWhenUsed="0" w:uiPriority="65" w:name="Medium List 1 Accent 5"/>
    <w:lsdException w:semiHidden="0" w:unhideWhenUsed="0" w:uiPriority="66" w:name="Medium List 2 Accent 5"/>
    <w:lsdException w:semiHidden="0" w:unhideWhenUsed="0" w:uiPriority="67" w:name="Medium Grid 1 Accent 5"/>
    <w:lsdException w:semiHidden="0" w:unhideWhenUsed="0" w:uiPriority="68" w:name="Medium Grid 2 Accent 5"/>
    <w:lsdException w:semiHidden="0" w:unhideWhenUsed="0" w:uiPriority="69" w:name="Medium Grid 3 Accent 5"/>
    <w:lsdException w:semiHidden="0" w:unhideWhenUsed="0" w:uiPriority="70" w:name="Dark List Accent 5"/>
    <w:lsdException w:semiHidden="0" w:unhideWhenUsed="0" w:uiPriority="71" w:name="Colorful Shading Accent 5"/>
    <w:lsdException w:semiHidden="0" w:unhideWhenUsed="0" w:uiPriority="72" w:name="Colorful List Accent 5"/>
    <w:lsdException w:semiHidden="0" w:unhideWhenUsed="0" w:uiPriority="73" w:name="Colorful Grid Accent 5"/>
    <w:lsdException w:semiHidden="0" w:unhideWhenUsed="0" w:uiPriority="60" w:name="Light Shading Accent 6"/>
    <w:lsdException w:semiHidden="0" w:unhideWhenUsed="0" w:uiPriority="61" w:name="Light List Accent 6"/>
    <w:lsdException w:semiHidden="0" w:unhideWhenUsed="0" w:uiPriority="62" w:name="Light Grid Accent 6"/>
    <w:lsdException w:semiHidden="0" w:unhideWhenUsed="0" w:uiPriority="63" w:name="Medium Shading 1 Accent 6"/>
    <w:lsdException w:semiHidden="0" w:unhideWhenUsed="0" w:uiPriority="64" w:name="Medium Shading 2 Accent 6"/>
    <w:lsdException w:semiHidden="0" w:unhideWhenUsed="0" w:uiPriority="65" w:name="Medium List 1 Accent 6"/>
    <w:lsdException w:semiHidden="0" w:unhideWhenUsed="0" w:uiPriority="66" w:name="Medium List 2 Accent 6"/>
    <w:lsdException w:semiHidden="0" w:unhideWhenUsed="0" w:uiPriority="67" w:name="Medium Grid 1 Accent 6"/>
    <w:lsdException w:semiHidden="0" w:unhideWhenUsed="0" w:uiPriority="68" w:name="Medium Grid 2 Accent 6"/>
    <w:lsdException w:semiHidden="0" w:unhideWhenUsed="0" w:uiPriority="69" w:name="Medium Grid 3 Accent 6"/>
    <w:lsdException w:semiHidden="0" w:unhideWhenUsed="0" w:uiPriority="70" w:name="Dark List Accent 6"/>
    <w:lsdException w:semiHidden="0" w:unhideWhenUsed="0" w:uiPriority="71" w:name="Colorful Shading Accent 6"/>
    <w:lsdException w:semiHidden="0" w:unhideWhenUsed="0" w:uiPriority="72" w:name="Colorful List Accent 6"/>
    <w:lsdException w:semiHidden="0" w:unhideWhenUsed="0" w:uiPriority="73" w:name="Colorful Grid Accent 6"/>
    <w:lsdException w:qFormat="1" w:semiHidden="0" w:unhideWhenUsed="0" w:uiPriority="19" w:name="Subtle Emphasis"/>
    <w:lsdException w:qFormat="1" w:semiHidden="0" w:unhideWhenUsed="0" w:uiPriority="21" w:name="Intense Emphasis"/>
    <w:lsdException w:qFormat="1" w:semiHidden="0" w:unhideWhenUsed="0" w:uiPriority="31" w:name="Subtle Reference"/>
    <w:lsdException w:qFormat="1" w:semiHidden="0" w:unhideWhenUsed="0" w:uiPriority="32" w:name="Intense Reference"/>
    <w:lsdException w:qFormat="1" w:semiHidden="0" w:unhideWhenUsed="0" w:uiPriority="33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3a54e9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99"/>
    <w:semiHidden/>
    <w:rPr/>
  </w:style>
  <w:style w:type="character" w:styleId="Style14">
    <w:name w:val="Интернет-ссылка"/>
    <w:basedOn w:val="DefaultParagraphFont"/>
    <w:uiPriority w:val="99"/>
    <w:rsid w:val="00e547a3"/>
    <w:rPr>
      <w:rFonts w:cs="Times New Roman"/>
      <w:color w:val="0000FF"/>
      <w:u w:val="single"/>
      <w:lang w:val="zxx" w:eastAsia="zxx" w:bidi="zxx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7b6a33"/>
    <w:rPr>
      <w:rFonts w:ascii="Times New Roman" w:hAnsi="Times New Roman"/>
      <w:sz w:val="0"/>
      <w:szCs w:val="0"/>
    </w:rPr>
  </w:style>
  <w:style w:type="character" w:styleId="ListLabel1">
    <w:name w:val="ListLabel 1"/>
    <w:rPr>
      <w:color w:val="FF0000"/>
    </w:rPr>
  </w:style>
  <w:style w:type="character" w:styleId="ListLabel2">
    <w:name w:val="ListLabel 2"/>
    <w:rPr>
      <w:color w:val="0000FF"/>
    </w:rPr>
  </w:style>
  <w:style w:type="character" w:styleId="ListLabel3">
    <w:name w:val="ListLabel 3"/>
    <w:rPr>
      <w:sz w:val="28"/>
    </w:rPr>
  </w:style>
  <w:style w:type="paragraph" w:styleId="Style15">
    <w:name w:val="Заголовок"/>
    <w:basedOn w:val="Normal"/>
    <w:next w:val="Style16"/>
    <w:pPr>
      <w:keepNext/>
      <w:spacing w:before="240" w:after="120"/>
    </w:pPr>
    <w:rPr>
      <w:rFonts w:ascii="Liberation Sans" w:hAnsi="Liberation Sans" w:eastAsia="Lucida Sans Unicode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pPr>
      <w:suppressLineNumbers/>
    </w:pPr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rsid w:val="005b5461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hyperlink" Target="http://www.asv.org.ru/pension" TargetMode="External"/><Relationship Id="rId5" Type="http://schemas.openxmlformats.org/officeDocument/2006/relationships/hyperlink" Target="http://www.pfrf.ru/" TargetMode="External"/><Relationship Id="rId6" Type="http://schemas.openxmlformats.org/officeDocument/2006/relationships/hyperlink" Target="http://gov.cap.ru/" TargetMode="Externa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Application>LibreOffice/4.3.4.1$Windows_x86 LibreOffice_project/bc356b2f991740509f321d70e4512a6a54c5f243</Application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2015-07-17T06:53:00Z</dcterms:created>
  <dc:creator>Пользователь</dc:creator>
  <dc:language>ru-RU</dc:language>
  <cp:lastModifiedBy>1</cp:lastModifiedBy>
  <cp:lastPrinted>2015-07-17T06:52:00Z</cp:lastPrinted>
  <dcterms:modified xsi:type="dcterms:W3CDTF">2015-07-17T06:53:00Z</dcterms:modified>
  <cp:revision>2</cp:revision>
  <dc:title>        </dc:title>
</cp:coreProperties>
</file>